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1CFE3" w14:textId="77777777" w:rsidR="00D22FB5" w:rsidRDefault="00D22FB5" w:rsidP="00C05196"/>
    <w:p w14:paraId="51311C64" w14:textId="77777777" w:rsidR="006E4681" w:rsidRDefault="006E4681" w:rsidP="00C05196"/>
    <w:p w14:paraId="641B1BDE" w14:textId="77777777" w:rsidR="006E4681" w:rsidRDefault="00EB61E7" w:rsidP="00C05196">
      <w:r>
        <w:rPr>
          <w:noProof/>
        </w:rPr>
        <w:drawing>
          <wp:anchor distT="0" distB="0" distL="114300" distR="114300" simplePos="0" relativeHeight="251658240" behindDoc="0" locked="0" layoutInCell="1" allowOverlap="1" wp14:anchorId="4DB83935" wp14:editId="2F778497">
            <wp:simplePos x="0" y="0"/>
            <wp:positionH relativeFrom="column">
              <wp:posOffset>2286000</wp:posOffset>
            </wp:positionH>
            <wp:positionV relativeFrom="paragraph">
              <wp:posOffset>74295</wp:posOffset>
            </wp:positionV>
            <wp:extent cx="1175385" cy="1324610"/>
            <wp:effectExtent l="19050" t="0" r="5715" b="0"/>
            <wp:wrapSquare wrapText="bothSides"/>
            <wp:docPr id="2" name="Picture 1" descr="Description: Image result for ministry of comme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 result for ministry of commerce logo"/>
                    <pic:cNvPicPr>
                      <a:picLocks noChangeAspect="1" noChangeArrowheads="1"/>
                    </pic:cNvPicPr>
                  </pic:nvPicPr>
                  <pic:blipFill>
                    <a:blip r:embed="rId11"/>
                    <a:srcRect/>
                    <a:stretch>
                      <a:fillRect/>
                    </a:stretch>
                  </pic:blipFill>
                  <pic:spPr bwMode="auto">
                    <a:xfrm>
                      <a:off x="0" y="0"/>
                      <a:ext cx="1175385" cy="1324610"/>
                    </a:xfrm>
                    <a:prstGeom prst="rect">
                      <a:avLst/>
                    </a:prstGeom>
                    <a:noFill/>
                    <a:ln w="9525">
                      <a:noFill/>
                      <a:miter lim="800000"/>
                      <a:headEnd/>
                      <a:tailEnd/>
                    </a:ln>
                  </pic:spPr>
                </pic:pic>
              </a:graphicData>
            </a:graphic>
          </wp:anchor>
        </w:drawing>
      </w:r>
    </w:p>
    <w:p w14:paraId="7F08F0EE" w14:textId="77777777" w:rsidR="006E4681" w:rsidRDefault="006E4681" w:rsidP="00C05196"/>
    <w:p w14:paraId="150FE023" w14:textId="77777777" w:rsidR="006E4681" w:rsidRDefault="006E4681" w:rsidP="00C05196"/>
    <w:p w14:paraId="1D1653FE" w14:textId="77777777" w:rsidR="006E4681" w:rsidRDefault="006E4681" w:rsidP="006E4681">
      <w:pPr>
        <w:jc w:val="center"/>
        <w:rPr>
          <w:rFonts w:ascii="Arial" w:hAnsi="Arial"/>
          <w:b/>
          <w:bCs/>
          <w:sz w:val="28"/>
          <w:szCs w:val="28"/>
        </w:rPr>
      </w:pPr>
    </w:p>
    <w:p w14:paraId="7CA0F05E" w14:textId="77777777" w:rsidR="006E4681" w:rsidRDefault="006E4681" w:rsidP="006E4681">
      <w:pPr>
        <w:jc w:val="center"/>
        <w:rPr>
          <w:rFonts w:ascii="Arial" w:hAnsi="Arial"/>
          <w:b/>
          <w:bCs/>
          <w:sz w:val="28"/>
          <w:szCs w:val="28"/>
        </w:rPr>
      </w:pPr>
    </w:p>
    <w:p w14:paraId="45322FB9" w14:textId="77777777" w:rsidR="006E4681" w:rsidRDefault="006E4681" w:rsidP="006E4681">
      <w:pPr>
        <w:jc w:val="center"/>
        <w:rPr>
          <w:rFonts w:ascii="Arial" w:hAnsi="Arial"/>
          <w:b/>
          <w:bCs/>
          <w:sz w:val="28"/>
          <w:szCs w:val="28"/>
        </w:rPr>
      </w:pPr>
    </w:p>
    <w:p w14:paraId="315DA380" w14:textId="77777777" w:rsidR="006E4681" w:rsidRDefault="006E4681" w:rsidP="006E4681">
      <w:pPr>
        <w:jc w:val="center"/>
        <w:rPr>
          <w:rFonts w:ascii="Arial" w:hAnsi="Arial"/>
          <w:b/>
          <w:bCs/>
          <w:sz w:val="28"/>
          <w:szCs w:val="28"/>
        </w:rPr>
      </w:pPr>
    </w:p>
    <w:p w14:paraId="7056306D" w14:textId="77777777" w:rsidR="006E4681" w:rsidRDefault="006E4681" w:rsidP="006E4681">
      <w:pPr>
        <w:jc w:val="center"/>
        <w:rPr>
          <w:rFonts w:ascii="Arial" w:hAnsi="Arial"/>
          <w:b/>
          <w:bCs/>
          <w:sz w:val="28"/>
          <w:szCs w:val="28"/>
        </w:rPr>
      </w:pPr>
    </w:p>
    <w:p w14:paraId="358CB804" w14:textId="77777777" w:rsidR="006E4681" w:rsidRDefault="006E4681" w:rsidP="006E4681">
      <w:pPr>
        <w:jc w:val="center"/>
        <w:rPr>
          <w:rFonts w:ascii="Arial" w:hAnsi="Arial"/>
          <w:b/>
          <w:bCs/>
          <w:sz w:val="28"/>
          <w:szCs w:val="28"/>
        </w:rPr>
      </w:pPr>
    </w:p>
    <w:p w14:paraId="727C3303" w14:textId="7AEC98BD" w:rsidR="006E4681" w:rsidRDefault="00B42612" w:rsidP="006E4681">
      <w:pPr>
        <w:jc w:val="center"/>
        <w:rPr>
          <w:rFonts w:ascii="Arial" w:hAnsi="Arial"/>
          <w:b/>
          <w:bCs/>
          <w:sz w:val="28"/>
          <w:szCs w:val="28"/>
        </w:rPr>
      </w:pPr>
      <w:r>
        <w:rPr>
          <w:rFonts w:ascii="Arial" w:hAnsi="Arial"/>
          <w:b/>
          <w:bCs/>
          <w:sz w:val="28"/>
          <w:szCs w:val="28"/>
        </w:rPr>
        <w:t>Stakeholder Engagement Plan</w:t>
      </w:r>
    </w:p>
    <w:p w14:paraId="21BDF7D2" w14:textId="4B037C55" w:rsidR="006E4681" w:rsidRDefault="006E4681" w:rsidP="006E4681">
      <w:pPr>
        <w:jc w:val="center"/>
        <w:rPr>
          <w:rFonts w:ascii="Arial" w:hAnsi="Arial"/>
          <w:b/>
          <w:bCs/>
          <w:sz w:val="22"/>
          <w:szCs w:val="22"/>
          <w:lang w:val="en-GB"/>
        </w:rPr>
      </w:pPr>
      <w:r w:rsidRPr="006E4681">
        <w:rPr>
          <w:rFonts w:ascii="Arial" w:hAnsi="Arial"/>
          <w:b/>
          <w:bCs/>
          <w:sz w:val="22"/>
          <w:szCs w:val="22"/>
        </w:rPr>
        <w:t>Pakistan Goes Global</w:t>
      </w:r>
      <w:r w:rsidR="0017501B">
        <w:rPr>
          <w:rFonts w:ascii="Arial" w:hAnsi="Arial"/>
          <w:b/>
          <w:bCs/>
          <w:sz w:val="22"/>
          <w:szCs w:val="22"/>
        </w:rPr>
        <w:t xml:space="preserve">:  </w:t>
      </w:r>
      <w:r w:rsidR="0017501B">
        <w:rPr>
          <w:rFonts w:ascii="Arial" w:hAnsi="Arial"/>
          <w:b/>
          <w:bCs/>
          <w:sz w:val="22"/>
          <w:szCs w:val="22"/>
          <w:lang w:val="en-GB"/>
        </w:rPr>
        <w:t>An Initiative for a Global and Technology Driven Pakistan</w:t>
      </w:r>
    </w:p>
    <w:p w14:paraId="5FC59DFF" w14:textId="3B4B26AA" w:rsidR="003E3DFE" w:rsidRPr="003E3DFE" w:rsidRDefault="003E3DFE" w:rsidP="006E4681">
      <w:pPr>
        <w:jc w:val="center"/>
        <w:rPr>
          <w:rFonts w:ascii="Arial" w:hAnsi="Arial"/>
          <w:b/>
          <w:bCs/>
          <w:sz w:val="22"/>
          <w:szCs w:val="22"/>
        </w:rPr>
      </w:pPr>
      <w:r w:rsidRPr="003E3DFE">
        <w:rPr>
          <w:rFonts w:asciiTheme="minorHAnsi" w:hAnsiTheme="minorHAnsi" w:cstheme="minorHAnsi"/>
          <w:b/>
          <w:bCs/>
          <w:noProof/>
          <w:sz w:val="22"/>
          <w:szCs w:val="22"/>
        </w:rPr>
        <w:t>P170271</w:t>
      </w:r>
    </w:p>
    <w:p w14:paraId="0FD90557" w14:textId="77777777" w:rsidR="006E4681" w:rsidRDefault="006E4681" w:rsidP="006E4681">
      <w:pPr>
        <w:jc w:val="center"/>
        <w:rPr>
          <w:rFonts w:ascii="Arial" w:hAnsi="Arial"/>
          <w:b/>
          <w:bCs/>
          <w:sz w:val="22"/>
          <w:szCs w:val="22"/>
        </w:rPr>
      </w:pPr>
    </w:p>
    <w:p w14:paraId="13AE8A1D" w14:textId="77777777" w:rsidR="006E4681" w:rsidRDefault="006E4681" w:rsidP="006E4681">
      <w:pPr>
        <w:jc w:val="center"/>
        <w:rPr>
          <w:rFonts w:ascii="Arial" w:hAnsi="Arial"/>
          <w:b/>
          <w:bCs/>
          <w:sz w:val="22"/>
          <w:szCs w:val="22"/>
        </w:rPr>
      </w:pPr>
    </w:p>
    <w:p w14:paraId="29F53428" w14:textId="77777777" w:rsidR="006E4681" w:rsidRDefault="006E4681" w:rsidP="006E4681">
      <w:pPr>
        <w:jc w:val="center"/>
        <w:rPr>
          <w:rFonts w:ascii="Arial" w:hAnsi="Arial"/>
          <w:b/>
          <w:bCs/>
          <w:sz w:val="22"/>
          <w:szCs w:val="22"/>
        </w:rPr>
      </w:pPr>
    </w:p>
    <w:p w14:paraId="3EDEB028" w14:textId="77777777" w:rsidR="006E4681" w:rsidRDefault="006E4681" w:rsidP="006E4681">
      <w:pPr>
        <w:jc w:val="center"/>
        <w:rPr>
          <w:rFonts w:ascii="Arial" w:hAnsi="Arial"/>
          <w:b/>
          <w:bCs/>
          <w:sz w:val="22"/>
          <w:szCs w:val="22"/>
        </w:rPr>
      </w:pPr>
    </w:p>
    <w:p w14:paraId="0018CF45" w14:textId="77777777" w:rsidR="006E4681" w:rsidRDefault="006E4681" w:rsidP="006E4681">
      <w:pPr>
        <w:jc w:val="center"/>
        <w:rPr>
          <w:rFonts w:ascii="Arial" w:hAnsi="Arial"/>
          <w:b/>
          <w:bCs/>
          <w:sz w:val="22"/>
          <w:szCs w:val="22"/>
        </w:rPr>
      </w:pPr>
    </w:p>
    <w:p w14:paraId="52D42A49" w14:textId="77777777" w:rsidR="006E4681" w:rsidRDefault="006E4681" w:rsidP="006E4681">
      <w:pPr>
        <w:jc w:val="center"/>
        <w:rPr>
          <w:rFonts w:ascii="Arial" w:hAnsi="Arial"/>
          <w:b/>
          <w:bCs/>
          <w:sz w:val="22"/>
          <w:szCs w:val="22"/>
        </w:rPr>
      </w:pPr>
    </w:p>
    <w:p w14:paraId="30671068" w14:textId="77777777" w:rsidR="006E4681" w:rsidRDefault="006E4681" w:rsidP="006E4681">
      <w:pPr>
        <w:jc w:val="center"/>
        <w:rPr>
          <w:rFonts w:ascii="Arial" w:hAnsi="Arial"/>
          <w:b/>
          <w:bCs/>
          <w:sz w:val="22"/>
          <w:szCs w:val="22"/>
        </w:rPr>
      </w:pPr>
    </w:p>
    <w:p w14:paraId="7CED3DBE" w14:textId="77777777" w:rsidR="006E4681" w:rsidRDefault="006E4681" w:rsidP="006E4681">
      <w:pPr>
        <w:jc w:val="center"/>
        <w:rPr>
          <w:rFonts w:ascii="Arial" w:hAnsi="Arial"/>
          <w:b/>
          <w:bCs/>
          <w:sz w:val="22"/>
          <w:szCs w:val="22"/>
        </w:rPr>
      </w:pPr>
    </w:p>
    <w:p w14:paraId="3466ABAB" w14:textId="77777777" w:rsidR="006E4681" w:rsidRDefault="006E4681" w:rsidP="006E4681">
      <w:pPr>
        <w:jc w:val="center"/>
        <w:rPr>
          <w:rFonts w:ascii="Arial" w:hAnsi="Arial"/>
          <w:b/>
          <w:bCs/>
          <w:sz w:val="22"/>
          <w:szCs w:val="22"/>
        </w:rPr>
      </w:pPr>
    </w:p>
    <w:p w14:paraId="61D48C85" w14:textId="77777777" w:rsidR="006E4681" w:rsidRDefault="006E4681" w:rsidP="006E4681">
      <w:pPr>
        <w:jc w:val="center"/>
        <w:rPr>
          <w:rFonts w:ascii="Arial" w:hAnsi="Arial"/>
          <w:b/>
          <w:bCs/>
          <w:sz w:val="22"/>
          <w:szCs w:val="22"/>
        </w:rPr>
      </w:pPr>
    </w:p>
    <w:p w14:paraId="321FBC82" w14:textId="77777777" w:rsidR="006E4681" w:rsidRDefault="006E4681" w:rsidP="006E4681">
      <w:pPr>
        <w:jc w:val="center"/>
        <w:rPr>
          <w:rFonts w:ascii="Arial" w:hAnsi="Arial"/>
          <w:b/>
          <w:bCs/>
          <w:sz w:val="22"/>
          <w:szCs w:val="22"/>
        </w:rPr>
      </w:pPr>
    </w:p>
    <w:p w14:paraId="068F9A2D" w14:textId="77777777" w:rsidR="006E4681" w:rsidRDefault="006E4681" w:rsidP="006E4681">
      <w:pPr>
        <w:jc w:val="center"/>
        <w:rPr>
          <w:rFonts w:ascii="Arial" w:hAnsi="Arial"/>
          <w:b/>
          <w:bCs/>
          <w:sz w:val="22"/>
          <w:szCs w:val="22"/>
        </w:rPr>
      </w:pPr>
    </w:p>
    <w:p w14:paraId="4E1A66BF" w14:textId="61510CC9" w:rsidR="006E4681" w:rsidRDefault="00921AF1" w:rsidP="006E4681">
      <w:pPr>
        <w:jc w:val="center"/>
        <w:rPr>
          <w:rFonts w:ascii="Arial" w:hAnsi="Arial"/>
          <w:b/>
          <w:bCs/>
          <w:sz w:val="22"/>
          <w:szCs w:val="22"/>
        </w:rPr>
      </w:pPr>
      <w:r>
        <w:rPr>
          <w:rFonts w:ascii="Arial" w:hAnsi="Arial"/>
          <w:b/>
          <w:bCs/>
          <w:sz w:val="22"/>
          <w:szCs w:val="22"/>
        </w:rPr>
        <w:t xml:space="preserve">June </w:t>
      </w:r>
      <w:r w:rsidR="00CE0026">
        <w:rPr>
          <w:rFonts w:ascii="Arial" w:hAnsi="Arial"/>
          <w:b/>
          <w:bCs/>
          <w:sz w:val="22"/>
          <w:szCs w:val="22"/>
        </w:rPr>
        <w:t>1</w:t>
      </w:r>
      <w:r w:rsidR="0094373D">
        <w:rPr>
          <w:rFonts w:ascii="Arial" w:hAnsi="Arial"/>
          <w:b/>
          <w:bCs/>
          <w:sz w:val="22"/>
          <w:szCs w:val="22"/>
        </w:rPr>
        <w:t>5</w:t>
      </w:r>
      <w:r w:rsidR="003E3DFE">
        <w:rPr>
          <w:rFonts w:ascii="Arial" w:hAnsi="Arial"/>
          <w:b/>
          <w:bCs/>
          <w:sz w:val="22"/>
          <w:szCs w:val="22"/>
        </w:rPr>
        <w:t>,</w:t>
      </w:r>
      <w:bookmarkStart w:id="0" w:name="_GoBack"/>
      <w:bookmarkEnd w:id="0"/>
      <w:r w:rsidR="00D403E3">
        <w:rPr>
          <w:rFonts w:ascii="Arial" w:hAnsi="Arial"/>
          <w:b/>
          <w:bCs/>
          <w:sz w:val="22"/>
          <w:szCs w:val="22"/>
        </w:rPr>
        <w:t xml:space="preserve"> 2020</w:t>
      </w:r>
    </w:p>
    <w:p w14:paraId="65E48247" w14:textId="77777777" w:rsidR="006E4681" w:rsidRDefault="006E4681" w:rsidP="006E4681">
      <w:pPr>
        <w:jc w:val="center"/>
        <w:rPr>
          <w:rFonts w:ascii="Arial" w:hAnsi="Arial"/>
          <w:b/>
          <w:bCs/>
          <w:sz w:val="22"/>
          <w:szCs w:val="22"/>
        </w:rPr>
        <w:sectPr w:rsidR="006E4681" w:rsidSect="002C5DA5">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sectPr>
      </w:pPr>
    </w:p>
    <w:p w14:paraId="0A66D648" w14:textId="77777777" w:rsidR="006E4681" w:rsidRDefault="006E4681" w:rsidP="006E4681">
      <w:pPr>
        <w:rPr>
          <w:rFonts w:ascii="Arial" w:hAnsi="Arial"/>
          <w:b/>
          <w:bCs/>
        </w:rPr>
      </w:pPr>
      <w:r w:rsidRPr="006E4681">
        <w:rPr>
          <w:rFonts w:ascii="Arial" w:hAnsi="Arial"/>
          <w:b/>
          <w:bCs/>
        </w:rPr>
        <w:lastRenderedPageBreak/>
        <w:t>Table of Contents</w:t>
      </w:r>
    </w:p>
    <w:p w14:paraId="1A7FA6B1" w14:textId="1BEF7786" w:rsidR="00C93FDE" w:rsidRDefault="00FF4E42">
      <w:pPr>
        <w:pStyle w:val="TOC1"/>
        <w:tabs>
          <w:tab w:val="left" w:pos="422"/>
          <w:tab w:val="right" w:leader="dot" w:pos="8630"/>
        </w:tabs>
        <w:rPr>
          <w:rFonts w:asciiTheme="minorHAnsi" w:eastAsiaTheme="minorEastAsia" w:hAnsiTheme="minorHAnsi" w:cstheme="minorBidi"/>
          <w:noProof/>
          <w:lang w:eastAsia="ja-JP"/>
        </w:rPr>
      </w:pPr>
      <w:r>
        <w:rPr>
          <w:rFonts w:ascii="Arial" w:hAnsi="Arial"/>
          <w:b/>
          <w:bCs/>
        </w:rPr>
        <w:fldChar w:fldCharType="begin"/>
      </w:r>
      <w:r w:rsidR="00B849F0">
        <w:rPr>
          <w:rFonts w:ascii="Arial" w:hAnsi="Arial"/>
          <w:b/>
          <w:bCs/>
        </w:rPr>
        <w:instrText xml:space="preserve"> TOC \t "Heading 1,1,Heading 2,2,Heading 3,3" </w:instrText>
      </w:r>
      <w:r>
        <w:rPr>
          <w:rFonts w:ascii="Arial" w:hAnsi="Arial"/>
          <w:b/>
          <w:bCs/>
        </w:rPr>
        <w:fldChar w:fldCharType="separate"/>
      </w:r>
      <w:r w:rsidR="00C93FDE">
        <w:rPr>
          <w:noProof/>
        </w:rPr>
        <w:t>1.</w:t>
      </w:r>
      <w:r w:rsidR="00C93FDE">
        <w:rPr>
          <w:rFonts w:asciiTheme="minorHAnsi" w:eastAsiaTheme="minorEastAsia" w:hAnsiTheme="minorHAnsi" w:cstheme="minorBidi"/>
          <w:noProof/>
          <w:lang w:eastAsia="ja-JP"/>
        </w:rPr>
        <w:tab/>
      </w:r>
      <w:r w:rsidR="00C93FDE">
        <w:rPr>
          <w:noProof/>
        </w:rPr>
        <w:t>Introduction</w:t>
      </w:r>
      <w:r w:rsidR="00C93FDE">
        <w:rPr>
          <w:noProof/>
        </w:rPr>
        <w:tab/>
      </w:r>
      <w:r w:rsidR="00C93FDE">
        <w:rPr>
          <w:noProof/>
        </w:rPr>
        <w:fldChar w:fldCharType="begin"/>
      </w:r>
      <w:r w:rsidR="00C93FDE">
        <w:rPr>
          <w:noProof/>
        </w:rPr>
        <w:instrText xml:space="preserve"> PAGEREF _Toc452826909 \h </w:instrText>
      </w:r>
      <w:r w:rsidR="00C93FDE">
        <w:rPr>
          <w:noProof/>
        </w:rPr>
      </w:r>
      <w:r w:rsidR="00C93FDE">
        <w:rPr>
          <w:noProof/>
        </w:rPr>
        <w:fldChar w:fldCharType="separate"/>
      </w:r>
      <w:r w:rsidR="000E33D4">
        <w:rPr>
          <w:noProof/>
        </w:rPr>
        <w:t>1</w:t>
      </w:r>
      <w:r w:rsidR="00C93FDE">
        <w:rPr>
          <w:noProof/>
        </w:rPr>
        <w:fldChar w:fldCharType="end"/>
      </w:r>
    </w:p>
    <w:p w14:paraId="2E2A8D9F" w14:textId="58065622" w:rsidR="00C93FDE" w:rsidRDefault="00C93FDE">
      <w:pPr>
        <w:pStyle w:val="TOC2"/>
        <w:tabs>
          <w:tab w:val="left" w:pos="844"/>
          <w:tab w:val="right" w:leader="dot" w:pos="8630"/>
        </w:tabs>
        <w:rPr>
          <w:rFonts w:asciiTheme="minorHAnsi" w:eastAsiaTheme="minorEastAsia" w:hAnsiTheme="minorHAnsi" w:cstheme="minorBidi"/>
          <w:noProof/>
          <w:lang w:eastAsia="ja-JP"/>
        </w:rPr>
      </w:pPr>
      <w:r>
        <w:rPr>
          <w:noProof/>
        </w:rPr>
        <w:t>1.1.</w:t>
      </w:r>
      <w:r>
        <w:rPr>
          <w:rFonts w:asciiTheme="minorHAnsi" w:eastAsiaTheme="minorEastAsia" w:hAnsiTheme="minorHAnsi" w:cstheme="minorBidi"/>
          <w:noProof/>
          <w:lang w:eastAsia="ja-JP"/>
        </w:rPr>
        <w:tab/>
      </w:r>
      <w:r>
        <w:rPr>
          <w:noProof/>
        </w:rPr>
        <w:t>Stage of the Project</w:t>
      </w:r>
      <w:r>
        <w:rPr>
          <w:noProof/>
        </w:rPr>
        <w:tab/>
      </w:r>
      <w:r>
        <w:rPr>
          <w:noProof/>
        </w:rPr>
        <w:fldChar w:fldCharType="begin"/>
      </w:r>
      <w:r>
        <w:rPr>
          <w:noProof/>
        </w:rPr>
        <w:instrText xml:space="preserve"> PAGEREF _Toc452826910 \h </w:instrText>
      </w:r>
      <w:r>
        <w:rPr>
          <w:noProof/>
        </w:rPr>
      </w:r>
      <w:r>
        <w:rPr>
          <w:noProof/>
        </w:rPr>
        <w:fldChar w:fldCharType="separate"/>
      </w:r>
      <w:r w:rsidR="000E33D4">
        <w:rPr>
          <w:noProof/>
        </w:rPr>
        <w:t>1</w:t>
      </w:r>
      <w:r>
        <w:rPr>
          <w:noProof/>
        </w:rPr>
        <w:fldChar w:fldCharType="end"/>
      </w:r>
    </w:p>
    <w:p w14:paraId="3187E4E1" w14:textId="0DE2E626" w:rsidR="00C93FDE" w:rsidRDefault="00C93FDE">
      <w:pPr>
        <w:pStyle w:val="TOC2"/>
        <w:tabs>
          <w:tab w:val="left" w:pos="844"/>
          <w:tab w:val="right" w:leader="dot" w:pos="8630"/>
        </w:tabs>
        <w:rPr>
          <w:rFonts w:asciiTheme="minorHAnsi" w:eastAsiaTheme="minorEastAsia" w:hAnsiTheme="minorHAnsi" w:cstheme="minorBidi"/>
          <w:noProof/>
          <w:lang w:eastAsia="ja-JP"/>
        </w:rPr>
      </w:pPr>
      <w:r>
        <w:rPr>
          <w:noProof/>
        </w:rPr>
        <w:t>1.2.</w:t>
      </w:r>
      <w:r>
        <w:rPr>
          <w:rFonts w:asciiTheme="minorHAnsi" w:eastAsiaTheme="minorEastAsia" w:hAnsiTheme="minorHAnsi" w:cstheme="minorBidi"/>
          <w:noProof/>
          <w:lang w:eastAsia="ja-JP"/>
        </w:rPr>
        <w:tab/>
      </w:r>
      <w:r>
        <w:rPr>
          <w:noProof/>
        </w:rPr>
        <w:t>Project Details</w:t>
      </w:r>
      <w:r>
        <w:rPr>
          <w:noProof/>
        </w:rPr>
        <w:tab/>
      </w:r>
      <w:r>
        <w:rPr>
          <w:noProof/>
        </w:rPr>
        <w:fldChar w:fldCharType="begin"/>
      </w:r>
      <w:r>
        <w:rPr>
          <w:noProof/>
        </w:rPr>
        <w:instrText xml:space="preserve"> PAGEREF _Toc452826911 \h </w:instrText>
      </w:r>
      <w:r>
        <w:rPr>
          <w:noProof/>
        </w:rPr>
      </w:r>
      <w:r>
        <w:rPr>
          <w:noProof/>
        </w:rPr>
        <w:fldChar w:fldCharType="separate"/>
      </w:r>
      <w:r w:rsidR="000E33D4">
        <w:rPr>
          <w:noProof/>
        </w:rPr>
        <w:t>1</w:t>
      </w:r>
      <w:r>
        <w:rPr>
          <w:noProof/>
        </w:rPr>
        <w:fldChar w:fldCharType="end"/>
      </w:r>
    </w:p>
    <w:p w14:paraId="45645697" w14:textId="33AFC0B0" w:rsidR="00C93FDE" w:rsidRDefault="00C93FDE">
      <w:pPr>
        <w:pStyle w:val="TOC2"/>
        <w:tabs>
          <w:tab w:val="left" w:pos="844"/>
          <w:tab w:val="right" w:leader="dot" w:pos="8630"/>
        </w:tabs>
        <w:rPr>
          <w:rFonts w:asciiTheme="minorHAnsi" w:eastAsiaTheme="minorEastAsia" w:hAnsiTheme="minorHAnsi" w:cstheme="minorBidi"/>
          <w:noProof/>
          <w:lang w:eastAsia="ja-JP"/>
        </w:rPr>
      </w:pPr>
      <w:r w:rsidRPr="00CA2B7F">
        <w:rPr>
          <w:rFonts w:cs="Calibri"/>
          <w:bCs/>
          <w:noProof/>
        </w:rPr>
        <w:t>1.3.</w:t>
      </w:r>
      <w:r>
        <w:rPr>
          <w:rFonts w:asciiTheme="minorHAnsi" w:eastAsiaTheme="minorEastAsia" w:hAnsiTheme="minorHAnsi" w:cstheme="minorBidi"/>
          <w:noProof/>
          <w:lang w:eastAsia="ja-JP"/>
        </w:rPr>
        <w:tab/>
      </w:r>
      <w:r w:rsidRPr="00CA2B7F">
        <w:rPr>
          <w:rFonts w:cs="Calibri"/>
          <w:bCs/>
          <w:noProof/>
          <w:shd w:val="clear" w:color="auto" w:fill="FFFFFF"/>
        </w:rPr>
        <w:t>Project Management, Monitoring and Evaluation</w:t>
      </w:r>
      <w:r>
        <w:rPr>
          <w:noProof/>
        </w:rPr>
        <w:tab/>
      </w:r>
      <w:r>
        <w:rPr>
          <w:noProof/>
        </w:rPr>
        <w:fldChar w:fldCharType="begin"/>
      </w:r>
      <w:r>
        <w:rPr>
          <w:noProof/>
        </w:rPr>
        <w:instrText xml:space="preserve"> PAGEREF _Toc452826912 \h </w:instrText>
      </w:r>
      <w:r>
        <w:rPr>
          <w:noProof/>
        </w:rPr>
      </w:r>
      <w:r>
        <w:rPr>
          <w:noProof/>
        </w:rPr>
        <w:fldChar w:fldCharType="separate"/>
      </w:r>
      <w:r w:rsidR="000E33D4">
        <w:rPr>
          <w:noProof/>
        </w:rPr>
        <w:t>2</w:t>
      </w:r>
      <w:r>
        <w:rPr>
          <w:noProof/>
        </w:rPr>
        <w:fldChar w:fldCharType="end"/>
      </w:r>
    </w:p>
    <w:p w14:paraId="355ACA4E" w14:textId="5E7BF189" w:rsidR="00C93FDE" w:rsidRDefault="00C93FDE">
      <w:pPr>
        <w:pStyle w:val="TOC2"/>
        <w:tabs>
          <w:tab w:val="left" w:pos="844"/>
          <w:tab w:val="right" w:leader="dot" w:pos="8630"/>
        </w:tabs>
        <w:rPr>
          <w:rFonts w:asciiTheme="minorHAnsi" w:eastAsiaTheme="minorEastAsia" w:hAnsiTheme="minorHAnsi" w:cstheme="minorBidi"/>
          <w:noProof/>
          <w:lang w:eastAsia="ja-JP"/>
        </w:rPr>
      </w:pPr>
      <w:r>
        <w:rPr>
          <w:noProof/>
        </w:rPr>
        <w:t>1.4.</w:t>
      </w:r>
      <w:r>
        <w:rPr>
          <w:rFonts w:asciiTheme="minorHAnsi" w:eastAsiaTheme="minorEastAsia" w:hAnsiTheme="minorHAnsi" w:cstheme="minorBidi"/>
          <w:noProof/>
          <w:lang w:eastAsia="ja-JP"/>
        </w:rPr>
        <w:tab/>
      </w:r>
      <w:r>
        <w:rPr>
          <w:noProof/>
        </w:rPr>
        <w:t>Social and Environmental Risks</w:t>
      </w:r>
      <w:r>
        <w:rPr>
          <w:noProof/>
        </w:rPr>
        <w:tab/>
      </w:r>
      <w:r>
        <w:rPr>
          <w:noProof/>
        </w:rPr>
        <w:fldChar w:fldCharType="begin"/>
      </w:r>
      <w:r>
        <w:rPr>
          <w:noProof/>
        </w:rPr>
        <w:instrText xml:space="preserve"> PAGEREF _Toc452826913 \h </w:instrText>
      </w:r>
      <w:r>
        <w:rPr>
          <w:noProof/>
        </w:rPr>
      </w:r>
      <w:r>
        <w:rPr>
          <w:noProof/>
        </w:rPr>
        <w:fldChar w:fldCharType="separate"/>
      </w:r>
      <w:r w:rsidR="000E33D4">
        <w:rPr>
          <w:noProof/>
        </w:rPr>
        <w:t>3</w:t>
      </w:r>
      <w:r>
        <w:rPr>
          <w:noProof/>
        </w:rPr>
        <w:fldChar w:fldCharType="end"/>
      </w:r>
    </w:p>
    <w:p w14:paraId="770FD7F1" w14:textId="6C320DF5" w:rsidR="00C93FDE" w:rsidRDefault="00C93FDE">
      <w:pPr>
        <w:pStyle w:val="TOC2"/>
        <w:tabs>
          <w:tab w:val="left" w:pos="844"/>
          <w:tab w:val="right" w:leader="dot" w:pos="8630"/>
        </w:tabs>
        <w:rPr>
          <w:rFonts w:asciiTheme="minorHAnsi" w:eastAsiaTheme="minorEastAsia" w:hAnsiTheme="minorHAnsi" w:cstheme="minorBidi"/>
          <w:noProof/>
          <w:lang w:eastAsia="ja-JP"/>
        </w:rPr>
      </w:pPr>
      <w:r>
        <w:rPr>
          <w:noProof/>
        </w:rPr>
        <w:t>1.5.</w:t>
      </w:r>
      <w:r>
        <w:rPr>
          <w:rFonts w:asciiTheme="minorHAnsi" w:eastAsiaTheme="minorEastAsia" w:hAnsiTheme="minorHAnsi" w:cstheme="minorBidi"/>
          <w:noProof/>
          <w:lang w:eastAsia="ja-JP"/>
        </w:rPr>
        <w:tab/>
      </w:r>
      <w:r>
        <w:rPr>
          <w:noProof/>
        </w:rPr>
        <w:t>Implementation Arrangements</w:t>
      </w:r>
      <w:r>
        <w:rPr>
          <w:noProof/>
        </w:rPr>
        <w:tab/>
      </w:r>
      <w:r>
        <w:rPr>
          <w:noProof/>
        </w:rPr>
        <w:fldChar w:fldCharType="begin"/>
      </w:r>
      <w:r>
        <w:rPr>
          <w:noProof/>
        </w:rPr>
        <w:instrText xml:space="preserve"> PAGEREF _Toc452826914 \h </w:instrText>
      </w:r>
      <w:r>
        <w:rPr>
          <w:noProof/>
        </w:rPr>
      </w:r>
      <w:r>
        <w:rPr>
          <w:noProof/>
        </w:rPr>
        <w:fldChar w:fldCharType="separate"/>
      </w:r>
      <w:r w:rsidR="000E33D4">
        <w:rPr>
          <w:noProof/>
        </w:rPr>
        <w:t>3</w:t>
      </w:r>
      <w:r>
        <w:rPr>
          <w:noProof/>
        </w:rPr>
        <w:fldChar w:fldCharType="end"/>
      </w:r>
    </w:p>
    <w:p w14:paraId="35DC2EF0" w14:textId="77A0AE15" w:rsidR="00C93FDE" w:rsidRDefault="00C93FDE">
      <w:pPr>
        <w:pStyle w:val="TOC1"/>
        <w:tabs>
          <w:tab w:val="left" w:pos="422"/>
          <w:tab w:val="right" w:leader="dot" w:pos="8630"/>
        </w:tabs>
        <w:rPr>
          <w:rFonts w:asciiTheme="minorHAnsi" w:eastAsiaTheme="minorEastAsia" w:hAnsiTheme="minorHAnsi" w:cstheme="minorBidi"/>
          <w:noProof/>
          <w:lang w:eastAsia="ja-JP"/>
        </w:rPr>
      </w:pPr>
      <w:r>
        <w:rPr>
          <w:noProof/>
        </w:rPr>
        <w:t>2.</w:t>
      </w:r>
      <w:r>
        <w:rPr>
          <w:rFonts w:asciiTheme="minorHAnsi" w:eastAsiaTheme="minorEastAsia" w:hAnsiTheme="minorHAnsi" w:cstheme="minorBidi"/>
          <w:noProof/>
          <w:lang w:eastAsia="ja-JP"/>
        </w:rPr>
        <w:tab/>
      </w:r>
      <w:r>
        <w:rPr>
          <w:noProof/>
        </w:rPr>
        <w:t>Regulations and Requirements</w:t>
      </w:r>
      <w:r>
        <w:rPr>
          <w:noProof/>
        </w:rPr>
        <w:tab/>
      </w:r>
      <w:r>
        <w:rPr>
          <w:noProof/>
        </w:rPr>
        <w:fldChar w:fldCharType="begin"/>
      </w:r>
      <w:r>
        <w:rPr>
          <w:noProof/>
        </w:rPr>
        <w:instrText xml:space="preserve"> PAGEREF _Toc452826915 \h </w:instrText>
      </w:r>
      <w:r>
        <w:rPr>
          <w:noProof/>
        </w:rPr>
      </w:r>
      <w:r>
        <w:rPr>
          <w:noProof/>
        </w:rPr>
        <w:fldChar w:fldCharType="separate"/>
      </w:r>
      <w:r w:rsidR="000E33D4">
        <w:rPr>
          <w:noProof/>
        </w:rPr>
        <w:t>4</w:t>
      </w:r>
      <w:r>
        <w:rPr>
          <w:noProof/>
        </w:rPr>
        <w:fldChar w:fldCharType="end"/>
      </w:r>
    </w:p>
    <w:p w14:paraId="5B0186BA" w14:textId="35A8263B" w:rsidR="00C93FDE" w:rsidRDefault="00C93FDE">
      <w:pPr>
        <w:pStyle w:val="TOC2"/>
        <w:tabs>
          <w:tab w:val="left" w:pos="844"/>
          <w:tab w:val="right" w:leader="dot" w:pos="8630"/>
        </w:tabs>
        <w:rPr>
          <w:rFonts w:asciiTheme="minorHAnsi" w:eastAsiaTheme="minorEastAsia" w:hAnsiTheme="minorHAnsi" w:cstheme="minorBidi"/>
          <w:noProof/>
          <w:lang w:eastAsia="ja-JP"/>
        </w:rPr>
      </w:pPr>
      <w:r>
        <w:rPr>
          <w:noProof/>
        </w:rPr>
        <w:t>2.1.</w:t>
      </w:r>
      <w:r>
        <w:rPr>
          <w:rFonts w:asciiTheme="minorHAnsi" w:eastAsiaTheme="minorEastAsia" w:hAnsiTheme="minorHAnsi" w:cstheme="minorBidi"/>
          <w:noProof/>
          <w:lang w:eastAsia="ja-JP"/>
        </w:rPr>
        <w:tab/>
      </w:r>
      <w:r>
        <w:rPr>
          <w:noProof/>
        </w:rPr>
        <w:t>National Requirements</w:t>
      </w:r>
      <w:r>
        <w:rPr>
          <w:noProof/>
        </w:rPr>
        <w:tab/>
      </w:r>
      <w:r>
        <w:rPr>
          <w:noProof/>
        </w:rPr>
        <w:fldChar w:fldCharType="begin"/>
      </w:r>
      <w:r>
        <w:rPr>
          <w:noProof/>
        </w:rPr>
        <w:instrText xml:space="preserve"> PAGEREF _Toc452826916 \h </w:instrText>
      </w:r>
      <w:r>
        <w:rPr>
          <w:noProof/>
        </w:rPr>
      </w:r>
      <w:r>
        <w:rPr>
          <w:noProof/>
        </w:rPr>
        <w:fldChar w:fldCharType="separate"/>
      </w:r>
      <w:r w:rsidR="000E33D4">
        <w:rPr>
          <w:noProof/>
        </w:rPr>
        <w:t>4</w:t>
      </w:r>
      <w:r>
        <w:rPr>
          <w:noProof/>
        </w:rPr>
        <w:fldChar w:fldCharType="end"/>
      </w:r>
    </w:p>
    <w:p w14:paraId="649A69BB" w14:textId="4A3587E2" w:rsidR="00C93FDE" w:rsidRDefault="00C93FDE">
      <w:pPr>
        <w:pStyle w:val="TOC2"/>
        <w:tabs>
          <w:tab w:val="left" w:pos="844"/>
          <w:tab w:val="right" w:leader="dot" w:pos="8630"/>
        </w:tabs>
        <w:rPr>
          <w:rFonts w:asciiTheme="minorHAnsi" w:eastAsiaTheme="minorEastAsia" w:hAnsiTheme="minorHAnsi" w:cstheme="minorBidi"/>
          <w:noProof/>
          <w:lang w:eastAsia="ja-JP"/>
        </w:rPr>
      </w:pPr>
      <w:r>
        <w:rPr>
          <w:noProof/>
        </w:rPr>
        <w:t>2.2.</w:t>
      </w:r>
      <w:r>
        <w:rPr>
          <w:rFonts w:asciiTheme="minorHAnsi" w:eastAsiaTheme="minorEastAsia" w:hAnsiTheme="minorHAnsi" w:cstheme="minorBidi"/>
          <w:noProof/>
          <w:lang w:eastAsia="ja-JP"/>
        </w:rPr>
        <w:tab/>
      </w:r>
      <w:r>
        <w:rPr>
          <w:noProof/>
        </w:rPr>
        <w:t>World Bank Requirements</w:t>
      </w:r>
      <w:r>
        <w:rPr>
          <w:noProof/>
        </w:rPr>
        <w:tab/>
      </w:r>
      <w:r>
        <w:rPr>
          <w:noProof/>
        </w:rPr>
        <w:fldChar w:fldCharType="begin"/>
      </w:r>
      <w:r>
        <w:rPr>
          <w:noProof/>
        </w:rPr>
        <w:instrText xml:space="preserve"> PAGEREF _Toc452826917 \h </w:instrText>
      </w:r>
      <w:r>
        <w:rPr>
          <w:noProof/>
        </w:rPr>
      </w:r>
      <w:r>
        <w:rPr>
          <w:noProof/>
        </w:rPr>
        <w:fldChar w:fldCharType="separate"/>
      </w:r>
      <w:r w:rsidR="000E33D4">
        <w:rPr>
          <w:noProof/>
        </w:rPr>
        <w:t>4</w:t>
      </w:r>
      <w:r>
        <w:rPr>
          <w:noProof/>
        </w:rPr>
        <w:fldChar w:fldCharType="end"/>
      </w:r>
    </w:p>
    <w:p w14:paraId="12D714CF" w14:textId="6EE827FC" w:rsidR="00C93FDE" w:rsidRDefault="00C93FDE">
      <w:pPr>
        <w:pStyle w:val="TOC1"/>
        <w:tabs>
          <w:tab w:val="left" w:pos="422"/>
          <w:tab w:val="right" w:leader="dot" w:pos="8630"/>
        </w:tabs>
        <w:rPr>
          <w:rFonts w:asciiTheme="minorHAnsi" w:eastAsiaTheme="minorEastAsia" w:hAnsiTheme="minorHAnsi" w:cstheme="minorBidi"/>
          <w:noProof/>
          <w:lang w:eastAsia="ja-JP"/>
        </w:rPr>
      </w:pPr>
      <w:r>
        <w:rPr>
          <w:noProof/>
        </w:rPr>
        <w:t>3.</w:t>
      </w:r>
      <w:r>
        <w:rPr>
          <w:rFonts w:asciiTheme="minorHAnsi" w:eastAsiaTheme="minorEastAsia" w:hAnsiTheme="minorHAnsi" w:cstheme="minorBidi"/>
          <w:noProof/>
          <w:lang w:eastAsia="ja-JP"/>
        </w:rPr>
        <w:tab/>
      </w:r>
      <w:r>
        <w:rPr>
          <w:noProof/>
        </w:rPr>
        <w:t>Summary of Previous Stakeholder Engagement Activities</w:t>
      </w:r>
      <w:r>
        <w:rPr>
          <w:noProof/>
        </w:rPr>
        <w:tab/>
      </w:r>
      <w:r>
        <w:rPr>
          <w:noProof/>
        </w:rPr>
        <w:fldChar w:fldCharType="begin"/>
      </w:r>
      <w:r>
        <w:rPr>
          <w:noProof/>
        </w:rPr>
        <w:instrText xml:space="preserve"> PAGEREF _Toc452826918 \h </w:instrText>
      </w:r>
      <w:r>
        <w:rPr>
          <w:noProof/>
        </w:rPr>
      </w:r>
      <w:r>
        <w:rPr>
          <w:noProof/>
        </w:rPr>
        <w:fldChar w:fldCharType="separate"/>
      </w:r>
      <w:r w:rsidR="000E33D4">
        <w:rPr>
          <w:noProof/>
        </w:rPr>
        <w:t>5</w:t>
      </w:r>
      <w:r>
        <w:rPr>
          <w:noProof/>
        </w:rPr>
        <w:fldChar w:fldCharType="end"/>
      </w:r>
    </w:p>
    <w:p w14:paraId="604615ED" w14:textId="140EED80" w:rsidR="00C93FDE" w:rsidRDefault="00C93FDE">
      <w:pPr>
        <w:pStyle w:val="TOC2"/>
        <w:tabs>
          <w:tab w:val="left" w:pos="844"/>
          <w:tab w:val="right" w:leader="dot" w:pos="8630"/>
        </w:tabs>
        <w:rPr>
          <w:rFonts w:asciiTheme="minorHAnsi" w:eastAsiaTheme="minorEastAsia" w:hAnsiTheme="minorHAnsi" w:cstheme="minorBidi"/>
          <w:noProof/>
          <w:lang w:eastAsia="ja-JP"/>
        </w:rPr>
      </w:pPr>
      <w:r>
        <w:rPr>
          <w:noProof/>
        </w:rPr>
        <w:t>3.1.</w:t>
      </w:r>
      <w:r>
        <w:rPr>
          <w:rFonts w:asciiTheme="minorHAnsi" w:eastAsiaTheme="minorEastAsia" w:hAnsiTheme="minorHAnsi" w:cstheme="minorBidi"/>
          <w:noProof/>
          <w:lang w:eastAsia="ja-JP"/>
        </w:rPr>
        <w:tab/>
      </w:r>
      <w:r>
        <w:rPr>
          <w:noProof/>
        </w:rPr>
        <w:t>Lessons Learned from Stakeholder Engagement</w:t>
      </w:r>
      <w:r>
        <w:rPr>
          <w:noProof/>
        </w:rPr>
        <w:tab/>
      </w:r>
      <w:r>
        <w:rPr>
          <w:noProof/>
        </w:rPr>
        <w:fldChar w:fldCharType="begin"/>
      </w:r>
      <w:r>
        <w:rPr>
          <w:noProof/>
        </w:rPr>
        <w:instrText xml:space="preserve"> PAGEREF _Toc452826919 \h </w:instrText>
      </w:r>
      <w:r>
        <w:rPr>
          <w:noProof/>
        </w:rPr>
      </w:r>
      <w:r>
        <w:rPr>
          <w:noProof/>
        </w:rPr>
        <w:fldChar w:fldCharType="separate"/>
      </w:r>
      <w:r w:rsidR="000E33D4">
        <w:rPr>
          <w:noProof/>
        </w:rPr>
        <w:t>7</w:t>
      </w:r>
      <w:r>
        <w:rPr>
          <w:noProof/>
        </w:rPr>
        <w:fldChar w:fldCharType="end"/>
      </w:r>
    </w:p>
    <w:p w14:paraId="7BC3FEEF" w14:textId="48C9FB66" w:rsidR="00C93FDE" w:rsidRDefault="00C93FDE">
      <w:pPr>
        <w:pStyle w:val="TOC2"/>
        <w:tabs>
          <w:tab w:val="left" w:pos="844"/>
          <w:tab w:val="right" w:leader="dot" w:pos="8630"/>
        </w:tabs>
        <w:rPr>
          <w:rFonts w:asciiTheme="minorHAnsi" w:eastAsiaTheme="minorEastAsia" w:hAnsiTheme="minorHAnsi" w:cstheme="minorBidi"/>
          <w:noProof/>
          <w:lang w:eastAsia="ja-JP"/>
        </w:rPr>
      </w:pPr>
      <w:r w:rsidRPr="00CA2B7F">
        <w:rPr>
          <w:rFonts w:eastAsia="Calibri"/>
          <w:noProof/>
        </w:rPr>
        <w:t>3.2.</w:t>
      </w:r>
      <w:r>
        <w:rPr>
          <w:rFonts w:asciiTheme="minorHAnsi" w:eastAsiaTheme="minorEastAsia" w:hAnsiTheme="minorHAnsi" w:cstheme="minorBidi"/>
          <w:noProof/>
          <w:lang w:eastAsia="ja-JP"/>
        </w:rPr>
        <w:tab/>
      </w:r>
      <w:r>
        <w:rPr>
          <w:noProof/>
        </w:rPr>
        <w:t xml:space="preserve">Stakeholder Engagement in PGG </w:t>
      </w:r>
      <w:r w:rsidRPr="00CA2B7F">
        <w:rPr>
          <w:rFonts w:eastAsia="Calibri"/>
          <w:noProof/>
        </w:rPr>
        <w:t>Project Preparation Phase</w:t>
      </w:r>
      <w:r>
        <w:rPr>
          <w:noProof/>
        </w:rPr>
        <w:tab/>
      </w:r>
      <w:r>
        <w:rPr>
          <w:noProof/>
        </w:rPr>
        <w:fldChar w:fldCharType="begin"/>
      </w:r>
      <w:r>
        <w:rPr>
          <w:noProof/>
        </w:rPr>
        <w:instrText xml:space="preserve"> PAGEREF _Toc452826920 \h </w:instrText>
      </w:r>
      <w:r>
        <w:rPr>
          <w:noProof/>
        </w:rPr>
      </w:r>
      <w:r>
        <w:rPr>
          <w:noProof/>
        </w:rPr>
        <w:fldChar w:fldCharType="separate"/>
      </w:r>
      <w:r w:rsidR="000E33D4">
        <w:rPr>
          <w:noProof/>
        </w:rPr>
        <w:t>8</w:t>
      </w:r>
      <w:r>
        <w:rPr>
          <w:noProof/>
        </w:rPr>
        <w:fldChar w:fldCharType="end"/>
      </w:r>
    </w:p>
    <w:p w14:paraId="29180EDC" w14:textId="29DA4111" w:rsidR="00C93FDE" w:rsidRDefault="00C93FDE">
      <w:pPr>
        <w:pStyle w:val="TOC1"/>
        <w:tabs>
          <w:tab w:val="left" w:pos="422"/>
          <w:tab w:val="right" w:leader="dot" w:pos="8630"/>
        </w:tabs>
        <w:rPr>
          <w:rFonts w:asciiTheme="minorHAnsi" w:eastAsiaTheme="minorEastAsia" w:hAnsiTheme="minorHAnsi" w:cstheme="minorBidi"/>
          <w:noProof/>
          <w:lang w:eastAsia="ja-JP"/>
        </w:rPr>
      </w:pPr>
      <w:r>
        <w:rPr>
          <w:noProof/>
        </w:rPr>
        <w:t>4.</w:t>
      </w:r>
      <w:r>
        <w:rPr>
          <w:rFonts w:asciiTheme="minorHAnsi" w:eastAsiaTheme="minorEastAsia" w:hAnsiTheme="minorHAnsi" w:cstheme="minorBidi"/>
          <w:noProof/>
          <w:lang w:eastAsia="ja-JP"/>
        </w:rPr>
        <w:tab/>
      </w:r>
      <w:r>
        <w:rPr>
          <w:noProof/>
        </w:rPr>
        <w:t>Stakeholder Identification and Analysis</w:t>
      </w:r>
      <w:r>
        <w:rPr>
          <w:noProof/>
        </w:rPr>
        <w:tab/>
      </w:r>
      <w:r>
        <w:rPr>
          <w:noProof/>
        </w:rPr>
        <w:fldChar w:fldCharType="begin"/>
      </w:r>
      <w:r>
        <w:rPr>
          <w:noProof/>
        </w:rPr>
        <w:instrText xml:space="preserve"> PAGEREF _Toc452826921 \h </w:instrText>
      </w:r>
      <w:r>
        <w:rPr>
          <w:noProof/>
        </w:rPr>
      </w:r>
      <w:r>
        <w:rPr>
          <w:noProof/>
        </w:rPr>
        <w:fldChar w:fldCharType="separate"/>
      </w:r>
      <w:r w:rsidR="000E33D4">
        <w:rPr>
          <w:noProof/>
        </w:rPr>
        <w:t>10</w:t>
      </w:r>
      <w:r>
        <w:rPr>
          <w:noProof/>
        </w:rPr>
        <w:fldChar w:fldCharType="end"/>
      </w:r>
    </w:p>
    <w:p w14:paraId="1AFEE777" w14:textId="31F9121B" w:rsidR="00C93FDE" w:rsidRDefault="00C93FDE">
      <w:pPr>
        <w:pStyle w:val="TOC2"/>
        <w:tabs>
          <w:tab w:val="left" w:pos="844"/>
          <w:tab w:val="right" w:leader="dot" w:pos="8630"/>
        </w:tabs>
        <w:rPr>
          <w:rFonts w:asciiTheme="minorHAnsi" w:eastAsiaTheme="minorEastAsia" w:hAnsiTheme="minorHAnsi" w:cstheme="minorBidi"/>
          <w:noProof/>
          <w:lang w:eastAsia="ja-JP"/>
        </w:rPr>
      </w:pPr>
      <w:r w:rsidRPr="00CA2B7F">
        <w:rPr>
          <w:noProof/>
          <w:lang w:val="en-GB" w:eastAsia="en-GB"/>
        </w:rPr>
        <w:t>4.1.</w:t>
      </w:r>
      <w:r>
        <w:rPr>
          <w:rFonts w:asciiTheme="minorHAnsi" w:eastAsiaTheme="minorEastAsia" w:hAnsiTheme="minorHAnsi" w:cstheme="minorBidi"/>
          <w:noProof/>
          <w:lang w:eastAsia="ja-JP"/>
        </w:rPr>
        <w:tab/>
      </w:r>
      <w:r w:rsidRPr="00CA2B7F">
        <w:rPr>
          <w:noProof/>
          <w:lang w:val="en-GB" w:eastAsia="en-GB"/>
        </w:rPr>
        <w:t>Project Affected Parties</w:t>
      </w:r>
      <w:r>
        <w:rPr>
          <w:noProof/>
        </w:rPr>
        <w:tab/>
      </w:r>
      <w:r>
        <w:rPr>
          <w:noProof/>
        </w:rPr>
        <w:fldChar w:fldCharType="begin"/>
      </w:r>
      <w:r>
        <w:rPr>
          <w:noProof/>
        </w:rPr>
        <w:instrText xml:space="preserve"> PAGEREF _Toc452826922 \h </w:instrText>
      </w:r>
      <w:r>
        <w:rPr>
          <w:noProof/>
        </w:rPr>
      </w:r>
      <w:r>
        <w:rPr>
          <w:noProof/>
        </w:rPr>
        <w:fldChar w:fldCharType="separate"/>
      </w:r>
      <w:r w:rsidR="000E33D4">
        <w:rPr>
          <w:noProof/>
        </w:rPr>
        <w:t>10</w:t>
      </w:r>
      <w:r>
        <w:rPr>
          <w:noProof/>
        </w:rPr>
        <w:fldChar w:fldCharType="end"/>
      </w:r>
    </w:p>
    <w:p w14:paraId="40027608" w14:textId="7E372F73" w:rsidR="00C93FDE" w:rsidRDefault="00C93FDE">
      <w:pPr>
        <w:pStyle w:val="TOC2"/>
        <w:tabs>
          <w:tab w:val="left" w:pos="844"/>
          <w:tab w:val="right" w:leader="dot" w:pos="8630"/>
        </w:tabs>
        <w:rPr>
          <w:rFonts w:asciiTheme="minorHAnsi" w:eastAsiaTheme="minorEastAsia" w:hAnsiTheme="minorHAnsi" w:cstheme="minorBidi"/>
          <w:noProof/>
          <w:lang w:eastAsia="ja-JP"/>
        </w:rPr>
      </w:pPr>
      <w:r>
        <w:rPr>
          <w:noProof/>
        </w:rPr>
        <w:t>4.2.</w:t>
      </w:r>
      <w:r>
        <w:rPr>
          <w:rFonts w:asciiTheme="minorHAnsi" w:eastAsiaTheme="minorEastAsia" w:hAnsiTheme="minorHAnsi" w:cstheme="minorBidi"/>
          <w:noProof/>
          <w:lang w:eastAsia="ja-JP"/>
        </w:rPr>
        <w:tab/>
      </w:r>
      <w:r>
        <w:rPr>
          <w:noProof/>
        </w:rPr>
        <w:t>Other Interested Parties</w:t>
      </w:r>
      <w:r>
        <w:rPr>
          <w:noProof/>
        </w:rPr>
        <w:tab/>
      </w:r>
      <w:r>
        <w:rPr>
          <w:noProof/>
        </w:rPr>
        <w:fldChar w:fldCharType="begin"/>
      </w:r>
      <w:r>
        <w:rPr>
          <w:noProof/>
        </w:rPr>
        <w:instrText xml:space="preserve"> PAGEREF _Toc452826923 \h </w:instrText>
      </w:r>
      <w:r>
        <w:rPr>
          <w:noProof/>
        </w:rPr>
      </w:r>
      <w:r>
        <w:rPr>
          <w:noProof/>
        </w:rPr>
        <w:fldChar w:fldCharType="separate"/>
      </w:r>
      <w:r w:rsidR="000E33D4">
        <w:rPr>
          <w:noProof/>
        </w:rPr>
        <w:t>12</w:t>
      </w:r>
      <w:r>
        <w:rPr>
          <w:noProof/>
        </w:rPr>
        <w:fldChar w:fldCharType="end"/>
      </w:r>
    </w:p>
    <w:p w14:paraId="3976D46B" w14:textId="582DB96B" w:rsidR="00C93FDE" w:rsidRDefault="00C93FDE">
      <w:pPr>
        <w:pStyle w:val="TOC2"/>
        <w:tabs>
          <w:tab w:val="left" w:pos="844"/>
          <w:tab w:val="right" w:leader="dot" w:pos="8630"/>
        </w:tabs>
        <w:rPr>
          <w:rFonts w:asciiTheme="minorHAnsi" w:eastAsiaTheme="minorEastAsia" w:hAnsiTheme="minorHAnsi" w:cstheme="minorBidi"/>
          <w:noProof/>
          <w:lang w:eastAsia="ja-JP"/>
        </w:rPr>
      </w:pPr>
      <w:r>
        <w:rPr>
          <w:noProof/>
        </w:rPr>
        <w:t>4.3.</w:t>
      </w:r>
      <w:r>
        <w:rPr>
          <w:rFonts w:asciiTheme="minorHAnsi" w:eastAsiaTheme="minorEastAsia" w:hAnsiTheme="minorHAnsi" w:cstheme="minorBidi"/>
          <w:noProof/>
          <w:lang w:eastAsia="ja-JP"/>
        </w:rPr>
        <w:tab/>
      </w:r>
      <w:r>
        <w:rPr>
          <w:noProof/>
        </w:rPr>
        <w:t>Disadvantaged / Vulnerable Individuals or Groups</w:t>
      </w:r>
      <w:r>
        <w:rPr>
          <w:noProof/>
        </w:rPr>
        <w:tab/>
      </w:r>
      <w:r>
        <w:rPr>
          <w:noProof/>
        </w:rPr>
        <w:fldChar w:fldCharType="begin"/>
      </w:r>
      <w:r>
        <w:rPr>
          <w:noProof/>
        </w:rPr>
        <w:instrText xml:space="preserve"> PAGEREF _Toc452826924 \h </w:instrText>
      </w:r>
      <w:r>
        <w:rPr>
          <w:noProof/>
        </w:rPr>
      </w:r>
      <w:r>
        <w:rPr>
          <w:noProof/>
        </w:rPr>
        <w:fldChar w:fldCharType="separate"/>
      </w:r>
      <w:r w:rsidR="000E33D4">
        <w:rPr>
          <w:noProof/>
        </w:rPr>
        <w:t>13</w:t>
      </w:r>
      <w:r>
        <w:rPr>
          <w:noProof/>
        </w:rPr>
        <w:fldChar w:fldCharType="end"/>
      </w:r>
    </w:p>
    <w:p w14:paraId="1EBFD99A" w14:textId="43120E43" w:rsidR="00C93FDE" w:rsidRDefault="00C93FDE">
      <w:pPr>
        <w:pStyle w:val="TOC1"/>
        <w:tabs>
          <w:tab w:val="left" w:pos="422"/>
          <w:tab w:val="right" w:leader="dot" w:pos="8630"/>
        </w:tabs>
        <w:rPr>
          <w:rFonts w:asciiTheme="minorHAnsi" w:eastAsiaTheme="minorEastAsia" w:hAnsiTheme="minorHAnsi" w:cstheme="minorBidi"/>
          <w:noProof/>
          <w:lang w:eastAsia="ja-JP"/>
        </w:rPr>
      </w:pPr>
      <w:r>
        <w:rPr>
          <w:noProof/>
        </w:rPr>
        <w:t>5.</w:t>
      </w:r>
      <w:r>
        <w:rPr>
          <w:rFonts w:asciiTheme="minorHAnsi" w:eastAsiaTheme="minorEastAsia" w:hAnsiTheme="minorHAnsi" w:cstheme="minorBidi"/>
          <w:noProof/>
          <w:lang w:eastAsia="ja-JP"/>
        </w:rPr>
        <w:tab/>
      </w:r>
      <w:r>
        <w:rPr>
          <w:noProof/>
        </w:rPr>
        <w:t>Stakeholder Engagement Program</w:t>
      </w:r>
      <w:r>
        <w:rPr>
          <w:noProof/>
        </w:rPr>
        <w:tab/>
      </w:r>
      <w:r>
        <w:rPr>
          <w:noProof/>
        </w:rPr>
        <w:fldChar w:fldCharType="begin"/>
      </w:r>
      <w:r>
        <w:rPr>
          <w:noProof/>
        </w:rPr>
        <w:instrText xml:space="preserve"> PAGEREF _Toc452826925 \h </w:instrText>
      </w:r>
      <w:r>
        <w:rPr>
          <w:noProof/>
        </w:rPr>
      </w:r>
      <w:r>
        <w:rPr>
          <w:noProof/>
        </w:rPr>
        <w:fldChar w:fldCharType="separate"/>
      </w:r>
      <w:r w:rsidR="000E33D4">
        <w:rPr>
          <w:noProof/>
        </w:rPr>
        <w:t>13</w:t>
      </w:r>
      <w:r>
        <w:rPr>
          <w:noProof/>
        </w:rPr>
        <w:fldChar w:fldCharType="end"/>
      </w:r>
    </w:p>
    <w:p w14:paraId="410B9C6C" w14:textId="4912B91F" w:rsidR="00C93FDE" w:rsidRDefault="00C93FDE">
      <w:pPr>
        <w:pStyle w:val="TOC2"/>
        <w:tabs>
          <w:tab w:val="left" w:pos="844"/>
          <w:tab w:val="right" w:leader="dot" w:pos="8630"/>
        </w:tabs>
        <w:rPr>
          <w:rFonts w:asciiTheme="minorHAnsi" w:eastAsiaTheme="minorEastAsia" w:hAnsiTheme="minorHAnsi" w:cstheme="minorBidi"/>
          <w:noProof/>
          <w:lang w:eastAsia="ja-JP"/>
        </w:rPr>
      </w:pPr>
      <w:r w:rsidRPr="00CA2B7F">
        <w:rPr>
          <w:rFonts w:ascii="Calibri" w:eastAsia="Calibri" w:hAnsi="Calibri"/>
          <w:noProof/>
          <w:color w:val="000000"/>
        </w:rPr>
        <w:t>5.1.</w:t>
      </w:r>
      <w:r>
        <w:rPr>
          <w:rFonts w:asciiTheme="minorHAnsi" w:eastAsiaTheme="minorEastAsia" w:hAnsiTheme="minorHAnsi" w:cstheme="minorBidi"/>
          <w:noProof/>
          <w:lang w:eastAsia="ja-JP"/>
        </w:rPr>
        <w:tab/>
      </w:r>
      <w:r>
        <w:rPr>
          <w:noProof/>
        </w:rPr>
        <w:t>Purpose and Timing of Stakeholder Engagement Program</w:t>
      </w:r>
      <w:r>
        <w:rPr>
          <w:noProof/>
        </w:rPr>
        <w:tab/>
      </w:r>
      <w:r>
        <w:rPr>
          <w:noProof/>
        </w:rPr>
        <w:fldChar w:fldCharType="begin"/>
      </w:r>
      <w:r>
        <w:rPr>
          <w:noProof/>
        </w:rPr>
        <w:instrText xml:space="preserve"> PAGEREF _Toc452826926 \h </w:instrText>
      </w:r>
      <w:r>
        <w:rPr>
          <w:noProof/>
        </w:rPr>
      </w:r>
      <w:r>
        <w:rPr>
          <w:noProof/>
        </w:rPr>
        <w:fldChar w:fldCharType="separate"/>
      </w:r>
      <w:r w:rsidR="000E33D4">
        <w:rPr>
          <w:noProof/>
        </w:rPr>
        <w:t>14</w:t>
      </w:r>
      <w:r>
        <w:rPr>
          <w:noProof/>
        </w:rPr>
        <w:fldChar w:fldCharType="end"/>
      </w:r>
    </w:p>
    <w:p w14:paraId="757CACE7" w14:textId="445A066D" w:rsidR="00C93FDE" w:rsidRDefault="00C93FDE">
      <w:pPr>
        <w:pStyle w:val="TOC2"/>
        <w:tabs>
          <w:tab w:val="left" w:pos="844"/>
          <w:tab w:val="right" w:leader="dot" w:pos="8630"/>
        </w:tabs>
        <w:rPr>
          <w:rFonts w:asciiTheme="minorHAnsi" w:eastAsiaTheme="minorEastAsia" w:hAnsiTheme="minorHAnsi" w:cstheme="minorBidi"/>
          <w:noProof/>
          <w:lang w:eastAsia="ja-JP"/>
        </w:rPr>
      </w:pPr>
      <w:r>
        <w:rPr>
          <w:noProof/>
        </w:rPr>
        <w:t>5.2.</w:t>
      </w:r>
      <w:r>
        <w:rPr>
          <w:rFonts w:asciiTheme="minorHAnsi" w:eastAsiaTheme="minorEastAsia" w:hAnsiTheme="minorHAnsi" w:cstheme="minorBidi"/>
          <w:noProof/>
          <w:lang w:eastAsia="ja-JP"/>
        </w:rPr>
        <w:tab/>
      </w:r>
      <w:r>
        <w:rPr>
          <w:noProof/>
        </w:rPr>
        <w:t>Information Disclosure</w:t>
      </w:r>
      <w:r>
        <w:rPr>
          <w:noProof/>
        </w:rPr>
        <w:tab/>
      </w:r>
      <w:r>
        <w:rPr>
          <w:noProof/>
        </w:rPr>
        <w:fldChar w:fldCharType="begin"/>
      </w:r>
      <w:r>
        <w:rPr>
          <w:noProof/>
        </w:rPr>
        <w:instrText xml:space="preserve"> PAGEREF _Toc452826927 \h </w:instrText>
      </w:r>
      <w:r>
        <w:rPr>
          <w:noProof/>
        </w:rPr>
      </w:r>
      <w:r>
        <w:rPr>
          <w:noProof/>
        </w:rPr>
        <w:fldChar w:fldCharType="separate"/>
      </w:r>
      <w:r w:rsidR="000E33D4">
        <w:rPr>
          <w:noProof/>
        </w:rPr>
        <w:t>15</w:t>
      </w:r>
      <w:r>
        <w:rPr>
          <w:noProof/>
        </w:rPr>
        <w:fldChar w:fldCharType="end"/>
      </w:r>
    </w:p>
    <w:p w14:paraId="4B0219AC" w14:textId="63AEF04A" w:rsidR="00C93FDE" w:rsidRDefault="00C93FDE">
      <w:pPr>
        <w:pStyle w:val="TOC3"/>
        <w:tabs>
          <w:tab w:val="left" w:pos="1217"/>
          <w:tab w:val="right" w:leader="dot" w:pos="8630"/>
        </w:tabs>
        <w:rPr>
          <w:rFonts w:asciiTheme="minorHAnsi" w:eastAsiaTheme="minorEastAsia" w:hAnsiTheme="minorHAnsi" w:cstheme="minorBidi"/>
          <w:noProof/>
          <w:lang w:eastAsia="ja-JP"/>
        </w:rPr>
      </w:pPr>
      <w:r>
        <w:rPr>
          <w:noProof/>
        </w:rPr>
        <w:t>5.2.1</w:t>
      </w:r>
      <w:r>
        <w:rPr>
          <w:rFonts w:asciiTheme="minorHAnsi" w:eastAsiaTheme="minorEastAsia" w:hAnsiTheme="minorHAnsi" w:cstheme="minorBidi"/>
          <w:noProof/>
          <w:lang w:eastAsia="ja-JP"/>
        </w:rPr>
        <w:tab/>
      </w:r>
      <w:r>
        <w:rPr>
          <w:noProof/>
        </w:rPr>
        <w:t>Proposed Strategy for Stakeholder Engagement</w:t>
      </w:r>
      <w:r>
        <w:rPr>
          <w:noProof/>
        </w:rPr>
        <w:tab/>
      </w:r>
      <w:r>
        <w:rPr>
          <w:noProof/>
        </w:rPr>
        <w:fldChar w:fldCharType="begin"/>
      </w:r>
      <w:r>
        <w:rPr>
          <w:noProof/>
        </w:rPr>
        <w:instrText xml:space="preserve"> PAGEREF _Toc452826928 \h </w:instrText>
      </w:r>
      <w:r>
        <w:rPr>
          <w:noProof/>
        </w:rPr>
      </w:r>
      <w:r>
        <w:rPr>
          <w:noProof/>
        </w:rPr>
        <w:fldChar w:fldCharType="separate"/>
      </w:r>
      <w:r w:rsidR="000E33D4">
        <w:rPr>
          <w:noProof/>
        </w:rPr>
        <w:t>17</w:t>
      </w:r>
      <w:r>
        <w:rPr>
          <w:noProof/>
        </w:rPr>
        <w:fldChar w:fldCharType="end"/>
      </w:r>
    </w:p>
    <w:p w14:paraId="2A9FA9C9" w14:textId="00383A84" w:rsidR="00C93FDE" w:rsidRDefault="00C93FDE">
      <w:pPr>
        <w:pStyle w:val="TOC3"/>
        <w:tabs>
          <w:tab w:val="left" w:pos="1217"/>
          <w:tab w:val="right" w:leader="dot" w:pos="8630"/>
        </w:tabs>
        <w:rPr>
          <w:rFonts w:asciiTheme="minorHAnsi" w:eastAsiaTheme="minorEastAsia" w:hAnsiTheme="minorHAnsi" w:cstheme="minorBidi"/>
          <w:noProof/>
          <w:lang w:eastAsia="ja-JP"/>
        </w:rPr>
      </w:pPr>
      <w:r>
        <w:rPr>
          <w:noProof/>
        </w:rPr>
        <w:t>5.2.2</w:t>
      </w:r>
      <w:r>
        <w:rPr>
          <w:rFonts w:asciiTheme="minorHAnsi" w:eastAsiaTheme="minorEastAsia" w:hAnsiTheme="minorHAnsi" w:cstheme="minorBidi"/>
          <w:noProof/>
          <w:lang w:eastAsia="ja-JP"/>
        </w:rPr>
        <w:tab/>
      </w:r>
      <w:r>
        <w:rPr>
          <w:noProof/>
        </w:rPr>
        <w:t>Proposed strategy / differentiated measures to include the views of and encourage participation by vulnerable groups</w:t>
      </w:r>
      <w:r>
        <w:rPr>
          <w:noProof/>
        </w:rPr>
        <w:tab/>
      </w:r>
      <w:r>
        <w:rPr>
          <w:noProof/>
        </w:rPr>
        <w:fldChar w:fldCharType="begin"/>
      </w:r>
      <w:r>
        <w:rPr>
          <w:noProof/>
        </w:rPr>
        <w:instrText xml:space="preserve"> PAGEREF _Toc452826929 \h </w:instrText>
      </w:r>
      <w:r>
        <w:rPr>
          <w:noProof/>
        </w:rPr>
      </w:r>
      <w:r>
        <w:rPr>
          <w:noProof/>
        </w:rPr>
        <w:fldChar w:fldCharType="separate"/>
      </w:r>
      <w:r w:rsidR="000E33D4">
        <w:rPr>
          <w:noProof/>
        </w:rPr>
        <w:t>19</w:t>
      </w:r>
      <w:r>
        <w:rPr>
          <w:noProof/>
        </w:rPr>
        <w:fldChar w:fldCharType="end"/>
      </w:r>
    </w:p>
    <w:p w14:paraId="4A4156BD" w14:textId="3C0F930D" w:rsidR="00C93FDE" w:rsidRDefault="00C93FDE">
      <w:pPr>
        <w:pStyle w:val="TOC3"/>
        <w:tabs>
          <w:tab w:val="left" w:pos="1217"/>
          <w:tab w:val="right" w:leader="dot" w:pos="8630"/>
        </w:tabs>
        <w:rPr>
          <w:rFonts w:asciiTheme="minorHAnsi" w:eastAsiaTheme="minorEastAsia" w:hAnsiTheme="minorHAnsi" w:cstheme="minorBidi"/>
          <w:noProof/>
          <w:lang w:eastAsia="ja-JP"/>
        </w:rPr>
      </w:pPr>
      <w:r>
        <w:rPr>
          <w:noProof/>
        </w:rPr>
        <w:t>5.2.3</w:t>
      </w:r>
      <w:r>
        <w:rPr>
          <w:rFonts w:asciiTheme="minorHAnsi" w:eastAsiaTheme="minorEastAsia" w:hAnsiTheme="minorHAnsi" w:cstheme="minorBidi"/>
          <w:noProof/>
          <w:lang w:eastAsia="ja-JP"/>
        </w:rPr>
        <w:tab/>
      </w:r>
      <w:r>
        <w:rPr>
          <w:noProof/>
        </w:rPr>
        <w:t>Review of Comments</w:t>
      </w:r>
      <w:r>
        <w:rPr>
          <w:noProof/>
        </w:rPr>
        <w:tab/>
      </w:r>
      <w:r>
        <w:rPr>
          <w:noProof/>
        </w:rPr>
        <w:fldChar w:fldCharType="begin"/>
      </w:r>
      <w:r>
        <w:rPr>
          <w:noProof/>
        </w:rPr>
        <w:instrText xml:space="preserve"> PAGEREF _Toc452826930 \h </w:instrText>
      </w:r>
      <w:r>
        <w:rPr>
          <w:noProof/>
        </w:rPr>
      </w:r>
      <w:r>
        <w:rPr>
          <w:noProof/>
        </w:rPr>
        <w:fldChar w:fldCharType="separate"/>
      </w:r>
      <w:r w:rsidR="000E33D4">
        <w:rPr>
          <w:noProof/>
        </w:rPr>
        <w:t>20</w:t>
      </w:r>
      <w:r>
        <w:rPr>
          <w:noProof/>
        </w:rPr>
        <w:fldChar w:fldCharType="end"/>
      </w:r>
    </w:p>
    <w:p w14:paraId="47A97EE1" w14:textId="74AE6670" w:rsidR="00C93FDE" w:rsidRDefault="00C93FDE">
      <w:pPr>
        <w:pStyle w:val="TOC1"/>
        <w:tabs>
          <w:tab w:val="left" w:pos="422"/>
          <w:tab w:val="right" w:leader="dot" w:pos="8630"/>
        </w:tabs>
        <w:rPr>
          <w:rFonts w:asciiTheme="minorHAnsi" w:eastAsiaTheme="minorEastAsia" w:hAnsiTheme="minorHAnsi" w:cstheme="minorBidi"/>
          <w:noProof/>
          <w:lang w:eastAsia="ja-JP"/>
        </w:rPr>
      </w:pPr>
      <w:r>
        <w:rPr>
          <w:noProof/>
        </w:rPr>
        <w:t>6.</w:t>
      </w:r>
      <w:r>
        <w:rPr>
          <w:rFonts w:asciiTheme="minorHAnsi" w:eastAsiaTheme="minorEastAsia" w:hAnsiTheme="minorHAnsi" w:cstheme="minorBidi"/>
          <w:noProof/>
          <w:lang w:eastAsia="ja-JP"/>
        </w:rPr>
        <w:tab/>
      </w:r>
      <w:r>
        <w:rPr>
          <w:noProof/>
        </w:rPr>
        <w:t>Roles, Responsibilities and Resources for Stakeholder Engagement</w:t>
      </w:r>
      <w:r>
        <w:rPr>
          <w:noProof/>
        </w:rPr>
        <w:tab/>
      </w:r>
      <w:r>
        <w:rPr>
          <w:noProof/>
        </w:rPr>
        <w:fldChar w:fldCharType="begin"/>
      </w:r>
      <w:r>
        <w:rPr>
          <w:noProof/>
        </w:rPr>
        <w:instrText xml:space="preserve"> PAGEREF _Toc452826931 \h </w:instrText>
      </w:r>
      <w:r>
        <w:rPr>
          <w:noProof/>
        </w:rPr>
      </w:r>
      <w:r>
        <w:rPr>
          <w:noProof/>
        </w:rPr>
        <w:fldChar w:fldCharType="separate"/>
      </w:r>
      <w:r w:rsidR="000E33D4">
        <w:rPr>
          <w:noProof/>
        </w:rPr>
        <w:t>20</w:t>
      </w:r>
      <w:r>
        <w:rPr>
          <w:noProof/>
        </w:rPr>
        <w:fldChar w:fldCharType="end"/>
      </w:r>
    </w:p>
    <w:p w14:paraId="4C755EFF" w14:textId="5793CA18" w:rsidR="00C93FDE" w:rsidRDefault="00C93FDE">
      <w:pPr>
        <w:pStyle w:val="TOC2"/>
        <w:tabs>
          <w:tab w:val="left" w:pos="844"/>
          <w:tab w:val="right" w:leader="dot" w:pos="8630"/>
        </w:tabs>
        <w:rPr>
          <w:rFonts w:asciiTheme="minorHAnsi" w:eastAsiaTheme="minorEastAsia" w:hAnsiTheme="minorHAnsi" w:cstheme="minorBidi"/>
          <w:noProof/>
          <w:lang w:eastAsia="ja-JP"/>
        </w:rPr>
      </w:pPr>
      <w:r>
        <w:rPr>
          <w:noProof/>
        </w:rPr>
        <w:t>6.1.</w:t>
      </w:r>
      <w:r>
        <w:rPr>
          <w:rFonts w:asciiTheme="minorHAnsi" w:eastAsiaTheme="minorEastAsia" w:hAnsiTheme="minorHAnsi" w:cstheme="minorBidi"/>
          <w:noProof/>
          <w:lang w:eastAsia="ja-JP"/>
        </w:rPr>
        <w:tab/>
      </w:r>
      <w:r>
        <w:rPr>
          <w:noProof/>
        </w:rPr>
        <w:t>Resources</w:t>
      </w:r>
      <w:r>
        <w:rPr>
          <w:noProof/>
        </w:rPr>
        <w:tab/>
      </w:r>
      <w:r>
        <w:rPr>
          <w:noProof/>
        </w:rPr>
        <w:fldChar w:fldCharType="begin"/>
      </w:r>
      <w:r>
        <w:rPr>
          <w:noProof/>
        </w:rPr>
        <w:instrText xml:space="preserve"> PAGEREF _Toc452826932 \h </w:instrText>
      </w:r>
      <w:r>
        <w:rPr>
          <w:noProof/>
        </w:rPr>
      </w:r>
      <w:r>
        <w:rPr>
          <w:noProof/>
        </w:rPr>
        <w:fldChar w:fldCharType="separate"/>
      </w:r>
      <w:r w:rsidR="000E33D4">
        <w:rPr>
          <w:noProof/>
        </w:rPr>
        <w:t>21</w:t>
      </w:r>
      <w:r>
        <w:rPr>
          <w:noProof/>
        </w:rPr>
        <w:fldChar w:fldCharType="end"/>
      </w:r>
    </w:p>
    <w:p w14:paraId="4DCA2DA2" w14:textId="768C5F9C" w:rsidR="00C93FDE" w:rsidRDefault="00C93FDE">
      <w:pPr>
        <w:pStyle w:val="TOC2"/>
        <w:tabs>
          <w:tab w:val="left" w:pos="844"/>
          <w:tab w:val="right" w:leader="dot" w:pos="8630"/>
        </w:tabs>
        <w:rPr>
          <w:rFonts w:asciiTheme="minorHAnsi" w:eastAsiaTheme="minorEastAsia" w:hAnsiTheme="minorHAnsi" w:cstheme="minorBidi"/>
          <w:noProof/>
          <w:lang w:eastAsia="ja-JP"/>
        </w:rPr>
      </w:pPr>
      <w:r>
        <w:rPr>
          <w:noProof/>
        </w:rPr>
        <w:t>6.2.</w:t>
      </w:r>
      <w:r>
        <w:rPr>
          <w:rFonts w:asciiTheme="minorHAnsi" w:eastAsiaTheme="minorEastAsia" w:hAnsiTheme="minorHAnsi" w:cstheme="minorBidi"/>
          <w:noProof/>
          <w:lang w:eastAsia="ja-JP"/>
        </w:rPr>
        <w:tab/>
      </w:r>
      <w:r>
        <w:rPr>
          <w:noProof/>
        </w:rPr>
        <w:t>Management Functions and Responsibilities</w:t>
      </w:r>
      <w:r>
        <w:rPr>
          <w:noProof/>
        </w:rPr>
        <w:tab/>
      </w:r>
      <w:r>
        <w:rPr>
          <w:noProof/>
        </w:rPr>
        <w:fldChar w:fldCharType="begin"/>
      </w:r>
      <w:r>
        <w:rPr>
          <w:noProof/>
        </w:rPr>
        <w:instrText xml:space="preserve"> PAGEREF _Toc452826933 \h </w:instrText>
      </w:r>
      <w:r>
        <w:rPr>
          <w:noProof/>
        </w:rPr>
      </w:r>
      <w:r>
        <w:rPr>
          <w:noProof/>
        </w:rPr>
        <w:fldChar w:fldCharType="separate"/>
      </w:r>
      <w:r w:rsidR="000E33D4">
        <w:rPr>
          <w:noProof/>
        </w:rPr>
        <w:t>22</w:t>
      </w:r>
      <w:r>
        <w:rPr>
          <w:noProof/>
        </w:rPr>
        <w:fldChar w:fldCharType="end"/>
      </w:r>
    </w:p>
    <w:p w14:paraId="60458740" w14:textId="7307D0AD" w:rsidR="00C93FDE" w:rsidRDefault="00C93FDE">
      <w:pPr>
        <w:pStyle w:val="TOC1"/>
        <w:tabs>
          <w:tab w:val="left" w:pos="422"/>
          <w:tab w:val="right" w:leader="dot" w:pos="8630"/>
        </w:tabs>
        <w:rPr>
          <w:rFonts w:asciiTheme="minorHAnsi" w:eastAsiaTheme="minorEastAsia" w:hAnsiTheme="minorHAnsi" w:cstheme="minorBidi"/>
          <w:noProof/>
          <w:lang w:eastAsia="ja-JP"/>
        </w:rPr>
      </w:pPr>
      <w:r>
        <w:rPr>
          <w:noProof/>
        </w:rPr>
        <w:lastRenderedPageBreak/>
        <w:t>7.</w:t>
      </w:r>
      <w:r>
        <w:rPr>
          <w:rFonts w:asciiTheme="minorHAnsi" w:eastAsiaTheme="minorEastAsia" w:hAnsiTheme="minorHAnsi" w:cstheme="minorBidi"/>
          <w:noProof/>
          <w:lang w:eastAsia="ja-JP"/>
        </w:rPr>
        <w:tab/>
      </w:r>
      <w:r>
        <w:rPr>
          <w:noProof/>
        </w:rPr>
        <w:t>Grievance Redress Mechanisms</w:t>
      </w:r>
      <w:r>
        <w:rPr>
          <w:noProof/>
        </w:rPr>
        <w:tab/>
      </w:r>
      <w:r>
        <w:rPr>
          <w:noProof/>
        </w:rPr>
        <w:fldChar w:fldCharType="begin"/>
      </w:r>
      <w:r>
        <w:rPr>
          <w:noProof/>
        </w:rPr>
        <w:instrText xml:space="preserve"> PAGEREF _Toc452826934 \h </w:instrText>
      </w:r>
      <w:r>
        <w:rPr>
          <w:noProof/>
        </w:rPr>
      </w:r>
      <w:r>
        <w:rPr>
          <w:noProof/>
        </w:rPr>
        <w:fldChar w:fldCharType="separate"/>
      </w:r>
      <w:r w:rsidR="000E33D4">
        <w:rPr>
          <w:noProof/>
        </w:rPr>
        <w:t>22</w:t>
      </w:r>
      <w:r>
        <w:rPr>
          <w:noProof/>
        </w:rPr>
        <w:fldChar w:fldCharType="end"/>
      </w:r>
    </w:p>
    <w:p w14:paraId="66629590" w14:textId="03D9F293" w:rsidR="00C93FDE" w:rsidRDefault="00C93FDE">
      <w:pPr>
        <w:pStyle w:val="TOC2"/>
        <w:tabs>
          <w:tab w:val="left" w:pos="844"/>
          <w:tab w:val="right" w:leader="dot" w:pos="8630"/>
        </w:tabs>
        <w:rPr>
          <w:rFonts w:asciiTheme="minorHAnsi" w:eastAsiaTheme="minorEastAsia" w:hAnsiTheme="minorHAnsi" w:cstheme="minorBidi"/>
          <w:noProof/>
          <w:lang w:eastAsia="ja-JP"/>
        </w:rPr>
      </w:pPr>
      <w:r>
        <w:rPr>
          <w:noProof/>
        </w:rPr>
        <w:t>7.1.</w:t>
      </w:r>
      <w:r>
        <w:rPr>
          <w:rFonts w:asciiTheme="minorHAnsi" w:eastAsiaTheme="minorEastAsia" w:hAnsiTheme="minorHAnsi" w:cstheme="minorBidi"/>
          <w:noProof/>
          <w:lang w:eastAsia="ja-JP"/>
        </w:rPr>
        <w:tab/>
      </w:r>
      <w:r>
        <w:rPr>
          <w:noProof/>
        </w:rPr>
        <w:t>Existing Grievance Redress Mechanisms</w:t>
      </w:r>
      <w:r>
        <w:rPr>
          <w:noProof/>
        </w:rPr>
        <w:tab/>
      </w:r>
      <w:r>
        <w:rPr>
          <w:noProof/>
        </w:rPr>
        <w:fldChar w:fldCharType="begin"/>
      </w:r>
      <w:r>
        <w:rPr>
          <w:noProof/>
        </w:rPr>
        <w:instrText xml:space="preserve"> PAGEREF _Toc452826935 \h </w:instrText>
      </w:r>
      <w:r>
        <w:rPr>
          <w:noProof/>
        </w:rPr>
      </w:r>
      <w:r>
        <w:rPr>
          <w:noProof/>
        </w:rPr>
        <w:fldChar w:fldCharType="separate"/>
      </w:r>
      <w:r w:rsidR="000E33D4">
        <w:rPr>
          <w:noProof/>
        </w:rPr>
        <w:t>22</w:t>
      </w:r>
      <w:r>
        <w:rPr>
          <w:noProof/>
        </w:rPr>
        <w:fldChar w:fldCharType="end"/>
      </w:r>
    </w:p>
    <w:p w14:paraId="6F10A40E" w14:textId="18231514" w:rsidR="00C93FDE" w:rsidRDefault="00C93FDE">
      <w:pPr>
        <w:pStyle w:val="TOC2"/>
        <w:tabs>
          <w:tab w:val="left" w:pos="844"/>
          <w:tab w:val="right" w:leader="dot" w:pos="8630"/>
        </w:tabs>
        <w:rPr>
          <w:rFonts w:asciiTheme="minorHAnsi" w:eastAsiaTheme="minorEastAsia" w:hAnsiTheme="minorHAnsi" w:cstheme="minorBidi"/>
          <w:noProof/>
          <w:lang w:eastAsia="ja-JP"/>
        </w:rPr>
      </w:pPr>
      <w:r>
        <w:rPr>
          <w:noProof/>
        </w:rPr>
        <w:t>7.2.</w:t>
      </w:r>
      <w:r>
        <w:rPr>
          <w:rFonts w:asciiTheme="minorHAnsi" w:eastAsiaTheme="minorEastAsia" w:hAnsiTheme="minorHAnsi" w:cstheme="minorBidi"/>
          <w:noProof/>
          <w:lang w:eastAsia="ja-JP"/>
        </w:rPr>
        <w:tab/>
      </w:r>
      <w:r>
        <w:rPr>
          <w:noProof/>
        </w:rPr>
        <w:t>Existing GRM - For Civil Servants</w:t>
      </w:r>
      <w:r>
        <w:rPr>
          <w:noProof/>
        </w:rPr>
        <w:tab/>
      </w:r>
      <w:r>
        <w:rPr>
          <w:noProof/>
        </w:rPr>
        <w:fldChar w:fldCharType="begin"/>
      </w:r>
      <w:r>
        <w:rPr>
          <w:noProof/>
        </w:rPr>
        <w:instrText xml:space="preserve"> PAGEREF _Toc452826936 \h </w:instrText>
      </w:r>
      <w:r>
        <w:rPr>
          <w:noProof/>
        </w:rPr>
      </w:r>
      <w:r>
        <w:rPr>
          <w:noProof/>
        </w:rPr>
        <w:fldChar w:fldCharType="separate"/>
      </w:r>
      <w:r w:rsidR="000E33D4">
        <w:rPr>
          <w:noProof/>
        </w:rPr>
        <w:t>22</w:t>
      </w:r>
      <w:r>
        <w:rPr>
          <w:noProof/>
        </w:rPr>
        <w:fldChar w:fldCharType="end"/>
      </w:r>
    </w:p>
    <w:p w14:paraId="6C7298C1" w14:textId="4D0CE6E3" w:rsidR="00C93FDE" w:rsidRDefault="00C93FDE">
      <w:pPr>
        <w:pStyle w:val="TOC2"/>
        <w:tabs>
          <w:tab w:val="left" w:pos="844"/>
          <w:tab w:val="right" w:leader="dot" w:pos="8630"/>
        </w:tabs>
        <w:rPr>
          <w:rFonts w:asciiTheme="minorHAnsi" w:eastAsiaTheme="minorEastAsia" w:hAnsiTheme="minorHAnsi" w:cstheme="minorBidi"/>
          <w:noProof/>
          <w:lang w:eastAsia="ja-JP"/>
        </w:rPr>
      </w:pPr>
      <w:r>
        <w:rPr>
          <w:noProof/>
        </w:rPr>
        <w:t>7.3.</w:t>
      </w:r>
      <w:r>
        <w:rPr>
          <w:rFonts w:asciiTheme="minorHAnsi" w:eastAsiaTheme="minorEastAsia" w:hAnsiTheme="minorHAnsi" w:cstheme="minorBidi"/>
          <w:noProof/>
          <w:lang w:eastAsia="ja-JP"/>
        </w:rPr>
        <w:tab/>
      </w:r>
      <w:r>
        <w:rPr>
          <w:noProof/>
        </w:rPr>
        <w:t>Project GRC – For Project Stakeholders</w:t>
      </w:r>
      <w:r>
        <w:rPr>
          <w:noProof/>
        </w:rPr>
        <w:tab/>
      </w:r>
      <w:r>
        <w:rPr>
          <w:noProof/>
        </w:rPr>
        <w:fldChar w:fldCharType="begin"/>
      </w:r>
      <w:r>
        <w:rPr>
          <w:noProof/>
        </w:rPr>
        <w:instrText xml:space="preserve"> PAGEREF _Toc452826937 \h </w:instrText>
      </w:r>
      <w:r>
        <w:rPr>
          <w:noProof/>
        </w:rPr>
      </w:r>
      <w:r>
        <w:rPr>
          <w:noProof/>
        </w:rPr>
        <w:fldChar w:fldCharType="separate"/>
      </w:r>
      <w:r w:rsidR="000E33D4">
        <w:rPr>
          <w:noProof/>
        </w:rPr>
        <w:t>23</w:t>
      </w:r>
      <w:r>
        <w:rPr>
          <w:noProof/>
        </w:rPr>
        <w:fldChar w:fldCharType="end"/>
      </w:r>
    </w:p>
    <w:p w14:paraId="035B2512" w14:textId="117D016E" w:rsidR="00C93FDE" w:rsidRDefault="00C93FDE">
      <w:pPr>
        <w:pStyle w:val="TOC2"/>
        <w:tabs>
          <w:tab w:val="left" w:pos="844"/>
          <w:tab w:val="right" w:leader="dot" w:pos="8630"/>
        </w:tabs>
        <w:rPr>
          <w:rFonts w:asciiTheme="minorHAnsi" w:eastAsiaTheme="minorEastAsia" w:hAnsiTheme="minorHAnsi" w:cstheme="minorBidi"/>
          <w:noProof/>
          <w:lang w:eastAsia="ja-JP"/>
        </w:rPr>
      </w:pPr>
      <w:r>
        <w:rPr>
          <w:noProof/>
        </w:rPr>
        <w:t>7.4.</w:t>
      </w:r>
      <w:r>
        <w:rPr>
          <w:rFonts w:asciiTheme="minorHAnsi" w:eastAsiaTheme="minorEastAsia" w:hAnsiTheme="minorHAnsi" w:cstheme="minorBidi"/>
          <w:noProof/>
          <w:lang w:eastAsia="ja-JP"/>
        </w:rPr>
        <w:tab/>
      </w:r>
      <w:r>
        <w:rPr>
          <w:noProof/>
        </w:rPr>
        <w:t>Informal Grievance Redress Mechanism</w:t>
      </w:r>
      <w:r>
        <w:rPr>
          <w:noProof/>
        </w:rPr>
        <w:tab/>
      </w:r>
      <w:r>
        <w:rPr>
          <w:noProof/>
        </w:rPr>
        <w:fldChar w:fldCharType="begin"/>
      </w:r>
      <w:r>
        <w:rPr>
          <w:noProof/>
        </w:rPr>
        <w:instrText xml:space="preserve"> PAGEREF _Toc452826938 \h </w:instrText>
      </w:r>
      <w:r>
        <w:rPr>
          <w:noProof/>
        </w:rPr>
      </w:r>
      <w:r>
        <w:rPr>
          <w:noProof/>
        </w:rPr>
        <w:fldChar w:fldCharType="separate"/>
      </w:r>
      <w:r w:rsidR="000E33D4">
        <w:rPr>
          <w:noProof/>
        </w:rPr>
        <w:t>23</w:t>
      </w:r>
      <w:r>
        <w:rPr>
          <w:noProof/>
        </w:rPr>
        <w:fldChar w:fldCharType="end"/>
      </w:r>
    </w:p>
    <w:p w14:paraId="5AA9C7E1" w14:textId="0F019CF1" w:rsidR="00C93FDE" w:rsidRDefault="00C93FDE">
      <w:pPr>
        <w:pStyle w:val="TOC1"/>
        <w:tabs>
          <w:tab w:val="left" w:pos="422"/>
          <w:tab w:val="right" w:leader="dot" w:pos="8630"/>
        </w:tabs>
        <w:rPr>
          <w:rFonts w:asciiTheme="minorHAnsi" w:eastAsiaTheme="minorEastAsia" w:hAnsiTheme="minorHAnsi" w:cstheme="minorBidi"/>
          <w:noProof/>
          <w:lang w:eastAsia="ja-JP"/>
        </w:rPr>
      </w:pPr>
      <w:r>
        <w:rPr>
          <w:noProof/>
        </w:rPr>
        <w:t>8.</w:t>
      </w:r>
      <w:r>
        <w:rPr>
          <w:rFonts w:asciiTheme="minorHAnsi" w:eastAsiaTheme="minorEastAsia" w:hAnsiTheme="minorHAnsi" w:cstheme="minorBidi"/>
          <w:noProof/>
          <w:lang w:eastAsia="ja-JP"/>
        </w:rPr>
        <w:tab/>
      </w:r>
      <w:r>
        <w:rPr>
          <w:noProof/>
        </w:rPr>
        <w:t>Monitoring and Reporting</w:t>
      </w:r>
      <w:r>
        <w:rPr>
          <w:noProof/>
        </w:rPr>
        <w:tab/>
      </w:r>
      <w:r>
        <w:rPr>
          <w:noProof/>
        </w:rPr>
        <w:fldChar w:fldCharType="begin"/>
      </w:r>
      <w:r>
        <w:rPr>
          <w:noProof/>
        </w:rPr>
        <w:instrText xml:space="preserve"> PAGEREF _Toc452826939 \h </w:instrText>
      </w:r>
      <w:r>
        <w:rPr>
          <w:noProof/>
        </w:rPr>
      </w:r>
      <w:r>
        <w:rPr>
          <w:noProof/>
        </w:rPr>
        <w:fldChar w:fldCharType="separate"/>
      </w:r>
      <w:r w:rsidR="000E33D4">
        <w:rPr>
          <w:noProof/>
        </w:rPr>
        <w:t>23</w:t>
      </w:r>
      <w:r>
        <w:rPr>
          <w:noProof/>
        </w:rPr>
        <w:fldChar w:fldCharType="end"/>
      </w:r>
    </w:p>
    <w:p w14:paraId="3E65E040" w14:textId="17E03FFA" w:rsidR="00C93FDE" w:rsidRDefault="00C93FDE">
      <w:pPr>
        <w:pStyle w:val="TOC2"/>
        <w:tabs>
          <w:tab w:val="left" w:pos="844"/>
          <w:tab w:val="right" w:leader="dot" w:pos="8630"/>
        </w:tabs>
        <w:rPr>
          <w:rFonts w:asciiTheme="minorHAnsi" w:eastAsiaTheme="minorEastAsia" w:hAnsiTheme="minorHAnsi" w:cstheme="minorBidi"/>
          <w:noProof/>
          <w:lang w:eastAsia="ja-JP"/>
        </w:rPr>
      </w:pPr>
      <w:r>
        <w:rPr>
          <w:noProof/>
        </w:rPr>
        <w:t>8.1.</w:t>
      </w:r>
      <w:r>
        <w:rPr>
          <w:rFonts w:asciiTheme="minorHAnsi" w:eastAsiaTheme="minorEastAsia" w:hAnsiTheme="minorHAnsi" w:cstheme="minorBidi"/>
          <w:noProof/>
          <w:lang w:eastAsia="ja-JP"/>
        </w:rPr>
        <w:tab/>
      </w:r>
      <w:r>
        <w:rPr>
          <w:noProof/>
        </w:rPr>
        <w:t>Involvement of Stakeholders in Monitoring Activities</w:t>
      </w:r>
      <w:r>
        <w:rPr>
          <w:noProof/>
        </w:rPr>
        <w:tab/>
      </w:r>
      <w:r>
        <w:rPr>
          <w:noProof/>
        </w:rPr>
        <w:fldChar w:fldCharType="begin"/>
      </w:r>
      <w:r>
        <w:rPr>
          <w:noProof/>
        </w:rPr>
        <w:instrText xml:space="preserve"> PAGEREF _Toc452826940 \h </w:instrText>
      </w:r>
      <w:r>
        <w:rPr>
          <w:noProof/>
        </w:rPr>
      </w:r>
      <w:r>
        <w:rPr>
          <w:noProof/>
        </w:rPr>
        <w:fldChar w:fldCharType="separate"/>
      </w:r>
      <w:r w:rsidR="000E33D4">
        <w:rPr>
          <w:noProof/>
        </w:rPr>
        <w:t>24</w:t>
      </w:r>
      <w:r>
        <w:rPr>
          <w:noProof/>
        </w:rPr>
        <w:fldChar w:fldCharType="end"/>
      </w:r>
    </w:p>
    <w:p w14:paraId="103C8ACE" w14:textId="0B41C9C3" w:rsidR="00B849F0" w:rsidRDefault="00FF4E42" w:rsidP="006E4681">
      <w:pPr>
        <w:rPr>
          <w:rFonts w:ascii="Arial" w:hAnsi="Arial"/>
          <w:b/>
          <w:bCs/>
        </w:rPr>
      </w:pPr>
      <w:r>
        <w:rPr>
          <w:rFonts w:ascii="Arial" w:hAnsi="Arial"/>
          <w:b/>
          <w:bCs/>
        </w:rPr>
        <w:fldChar w:fldCharType="end"/>
      </w:r>
    </w:p>
    <w:p w14:paraId="7DA5C850" w14:textId="77777777" w:rsidR="006E4681" w:rsidRDefault="006E4681" w:rsidP="006E4681">
      <w:pPr>
        <w:rPr>
          <w:rFonts w:ascii="Arial" w:hAnsi="Arial"/>
          <w:b/>
          <w:bCs/>
        </w:rPr>
        <w:sectPr w:rsidR="006E4681" w:rsidSect="002C5DA5">
          <w:pgSz w:w="12240" w:h="15840"/>
          <w:pgMar w:top="1440" w:right="1800" w:bottom="1440" w:left="1800" w:header="720" w:footer="720" w:gutter="0"/>
          <w:cols w:space="720"/>
        </w:sectPr>
      </w:pPr>
    </w:p>
    <w:p w14:paraId="14D995B8" w14:textId="77777777" w:rsidR="00AB0A86" w:rsidRDefault="006E4681" w:rsidP="00AB0A86">
      <w:pPr>
        <w:rPr>
          <w:rFonts w:ascii="Arial" w:hAnsi="Arial"/>
          <w:b/>
          <w:bCs/>
        </w:rPr>
      </w:pPr>
      <w:r>
        <w:rPr>
          <w:rFonts w:ascii="Arial" w:hAnsi="Arial"/>
          <w:b/>
          <w:bCs/>
        </w:rPr>
        <w:lastRenderedPageBreak/>
        <w:t>Acronyms</w:t>
      </w:r>
    </w:p>
    <w:tbl>
      <w:tblPr>
        <w:tblW w:w="0" w:type="auto"/>
        <w:jc w:val="center"/>
        <w:tblBorders>
          <w:top w:val="single" w:sz="8" w:space="0" w:color="auto"/>
          <w:bottom w:val="single" w:sz="8" w:space="0" w:color="auto"/>
          <w:insideH w:val="dotted" w:sz="8" w:space="0" w:color="auto"/>
        </w:tblBorders>
        <w:tblCellMar>
          <w:left w:w="72" w:type="dxa"/>
          <w:right w:w="72" w:type="dxa"/>
        </w:tblCellMar>
        <w:tblLook w:val="04A0" w:firstRow="1" w:lastRow="0" w:firstColumn="1" w:lastColumn="0" w:noHBand="0" w:noVBand="1"/>
      </w:tblPr>
      <w:tblGrid>
        <w:gridCol w:w="2861"/>
        <w:gridCol w:w="5779"/>
      </w:tblGrid>
      <w:tr w:rsidR="00147B77" w14:paraId="6CD607BF" w14:textId="77777777" w:rsidTr="0094373D">
        <w:trPr>
          <w:jc w:val="center"/>
        </w:trPr>
        <w:tc>
          <w:tcPr>
            <w:tcW w:w="2861" w:type="dxa"/>
            <w:shd w:val="clear" w:color="auto" w:fill="auto"/>
          </w:tcPr>
          <w:p w14:paraId="12F31D31"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BBRI</w:t>
            </w:r>
          </w:p>
        </w:tc>
        <w:tc>
          <w:tcPr>
            <w:tcW w:w="5779" w:type="dxa"/>
            <w:shd w:val="clear" w:color="auto" w:fill="auto"/>
          </w:tcPr>
          <w:p w14:paraId="13B39E8B"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Better Business Regulation Initiative</w:t>
            </w:r>
          </w:p>
        </w:tc>
      </w:tr>
      <w:tr w:rsidR="00147B77" w14:paraId="5711EEF5" w14:textId="77777777" w:rsidTr="0094373D">
        <w:trPr>
          <w:jc w:val="center"/>
        </w:trPr>
        <w:tc>
          <w:tcPr>
            <w:tcW w:w="2861" w:type="dxa"/>
            <w:shd w:val="clear" w:color="auto" w:fill="auto"/>
          </w:tcPr>
          <w:p w14:paraId="69F40EA3"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BOI</w:t>
            </w:r>
          </w:p>
        </w:tc>
        <w:tc>
          <w:tcPr>
            <w:tcW w:w="5779" w:type="dxa"/>
            <w:shd w:val="clear" w:color="auto" w:fill="auto"/>
          </w:tcPr>
          <w:p w14:paraId="52E284EA"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Board of Investment</w:t>
            </w:r>
          </w:p>
        </w:tc>
      </w:tr>
      <w:tr w:rsidR="00147B77" w14:paraId="463EF4F1" w14:textId="77777777" w:rsidTr="0094373D">
        <w:trPr>
          <w:jc w:val="center"/>
        </w:trPr>
        <w:tc>
          <w:tcPr>
            <w:tcW w:w="2861" w:type="dxa"/>
            <w:shd w:val="clear" w:color="auto" w:fill="auto"/>
          </w:tcPr>
          <w:p w14:paraId="17496D32"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ESS</w:t>
            </w:r>
          </w:p>
        </w:tc>
        <w:tc>
          <w:tcPr>
            <w:tcW w:w="5779" w:type="dxa"/>
            <w:shd w:val="clear" w:color="auto" w:fill="auto"/>
          </w:tcPr>
          <w:p w14:paraId="76EEE7C9"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Environmental and Social Standard</w:t>
            </w:r>
          </w:p>
        </w:tc>
      </w:tr>
      <w:tr w:rsidR="00147B77" w14:paraId="53FD672B" w14:textId="77777777" w:rsidTr="0094373D">
        <w:trPr>
          <w:jc w:val="center"/>
        </w:trPr>
        <w:tc>
          <w:tcPr>
            <w:tcW w:w="2861" w:type="dxa"/>
            <w:shd w:val="clear" w:color="auto" w:fill="auto"/>
          </w:tcPr>
          <w:p w14:paraId="7847A32E"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FBR</w:t>
            </w:r>
          </w:p>
        </w:tc>
        <w:tc>
          <w:tcPr>
            <w:tcW w:w="5779" w:type="dxa"/>
            <w:shd w:val="clear" w:color="auto" w:fill="auto"/>
          </w:tcPr>
          <w:p w14:paraId="6F4C0F8C"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Federal Board of Revenue</w:t>
            </w:r>
          </w:p>
        </w:tc>
      </w:tr>
      <w:tr w:rsidR="00147B77" w14:paraId="2E267926" w14:textId="77777777" w:rsidTr="0094373D">
        <w:trPr>
          <w:jc w:val="center"/>
        </w:trPr>
        <w:tc>
          <w:tcPr>
            <w:tcW w:w="2861" w:type="dxa"/>
            <w:shd w:val="clear" w:color="auto" w:fill="auto"/>
          </w:tcPr>
          <w:p w14:paraId="3B6BB975"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FST</w:t>
            </w:r>
          </w:p>
        </w:tc>
        <w:tc>
          <w:tcPr>
            <w:tcW w:w="5779" w:type="dxa"/>
            <w:shd w:val="clear" w:color="auto" w:fill="auto"/>
          </w:tcPr>
          <w:p w14:paraId="2EB6995E"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Federal Services Tribunal</w:t>
            </w:r>
          </w:p>
        </w:tc>
      </w:tr>
      <w:tr w:rsidR="00147B77" w14:paraId="4440FC81" w14:textId="77777777" w:rsidTr="0094373D">
        <w:trPr>
          <w:jc w:val="center"/>
        </w:trPr>
        <w:tc>
          <w:tcPr>
            <w:tcW w:w="2861" w:type="dxa"/>
            <w:shd w:val="clear" w:color="auto" w:fill="auto"/>
          </w:tcPr>
          <w:p w14:paraId="15028405"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GRC</w:t>
            </w:r>
          </w:p>
        </w:tc>
        <w:tc>
          <w:tcPr>
            <w:tcW w:w="5779" w:type="dxa"/>
            <w:shd w:val="clear" w:color="auto" w:fill="auto"/>
          </w:tcPr>
          <w:p w14:paraId="1C8F65CC" w14:textId="0CE5F365" w:rsidR="00147B77" w:rsidRPr="003D18F4" w:rsidRDefault="000A38BD" w:rsidP="00852B81">
            <w:pPr>
              <w:pStyle w:val="BodyText"/>
              <w:suppressAutoHyphens/>
              <w:rPr>
                <w:rFonts w:ascii="Arial" w:hAnsi="Arial"/>
                <w:sz w:val="18"/>
                <w:szCs w:val="18"/>
              </w:rPr>
            </w:pPr>
            <w:r>
              <w:rPr>
                <w:rFonts w:ascii="Arial" w:hAnsi="Arial"/>
                <w:sz w:val="18"/>
                <w:szCs w:val="18"/>
              </w:rPr>
              <w:t>Grievance</w:t>
            </w:r>
            <w:r w:rsidR="00147B77" w:rsidRPr="003D18F4">
              <w:rPr>
                <w:rFonts w:ascii="Arial" w:hAnsi="Arial"/>
                <w:sz w:val="18"/>
                <w:szCs w:val="18"/>
              </w:rPr>
              <w:t xml:space="preserve"> Redress Committee</w:t>
            </w:r>
          </w:p>
        </w:tc>
      </w:tr>
      <w:tr w:rsidR="00147B77" w14:paraId="3DDA4919" w14:textId="77777777" w:rsidTr="0094373D">
        <w:trPr>
          <w:jc w:val="center"/>
        </w:trPr>
        <w:tc>
          <w:tcPr>
            <w:tcW w:w="2861" w:type="dxa"/>
            <w:shd w:val="clear" w:color="auto" w:fill="auto"/>
          </w:tcPr>
          <w:p w14:paraId="35F66F4F" w14:textId="61E64206" w:rsidR="00147B77" w:rsidRPr="003D18F4" w:rsidRDefault="00D710F5" w:rsidP="00852B81">
            <w:pPr>
              <w:pStyle w:val="BodyText"/>
              <w:suppressAutoHyphens/>
              <w:rPr>
                <w:rFonts w:ascii="Arial" w:hAnsi="Arial"/>
                <w:sz w:val="18"/>
                <w:szCs w:val="18"/>
              </w:rPr>
            </w:pPr>
            <w:r>
              <w:rPr>
                <w:rFonts w:ascii="Arial" w:hAnsi="Arial"/>
                <w:sz w:val="18"/>
                <w:szCs w:val="18"/>
              </w:rPr>
              <w:t>MOC</w:t>
            </w:r>
          </w:p>
        </w:tc>
        <w:tc>
          <w:tcPr>
            <w:tcW w:w="5779" w:type="dxa"/>
            <w:shd w:val="clear" w:color="auto" w:fill="auto"/>
          </w:tcPr>
          <w:p w14:paraId="4A190B7B" w14:textId="597FBB97" w:rsidR="00147B77" w:rsidRPr="003D18F4" w:rsidRDefault="00147B77" w:rsidP="00D710F5">
            <w:pPr>
              <w:pStyle w:val="BodyText"/>
              <w:suppressAutoHyphens/>
              <w:rPr>
                <w:rFonts w:ascii="Arial" w:hAnsi="Arial"/>
                <w:sz w:val="18"/>
                <w:szCs w:val="18"/>
              </w:rPr>
            </w:pPr>
            <w:r w:rsidRPr="003D18F4">
              <w:rPr>
                <w:rFonts w:ascii="Arial" w:hAnsi="Arial"/>
                <w:sz w:val="18"/>
                <w:szCs w:val="18"/>
              </w:rPr>
              <w:t xml:space="preserve">Ministry of Commerce </w:t>
            </w:r>
          </w:p>
        </w:tc>
      </w:tr>
      <w:tr w:rsidR="00147B77" w14:paraId="1405E5A1" w14:textId="77777777" w:rsidTr="0094373D">
        <w:trPr>
          <w:jc w:val="center"/>
        </w:trPr>
        <w:tc>
          <w:tcPr>
            <w:tcW w:w="2861" w:type="dxa"/>
            <w:shd w:val="clear" w:color="auto" w:fill="auto"/>
          </w:tcPr>
          <w:p w14:paraId="7A330EA2"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MOIP</w:t>
            </w:r>
          </w:p>
        </w:tc>
        <w:tc>
          <w:tcPr>
            <w:tcW w:w="5779" w:type="dxa"/>
            <w:shd w:val="clear" w:color="auto" w:fill="auto"/>
          </w:tcPr>
          <w:p w14:paraId="13C552CB"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Ministry of Industries and Production</w:t>
            </w:r>
          </w:p>
        </w:tc>
      </w:tr>
      <w:tr w:rsidR="00147B77" w14:paraId="202B47FC" w14:textId="77777777" w:rsidTr="0094373D">
        <w:trPr>
          <w:jc w:val="center"/>
        </w:trPr>
        <w:tc>
          <w:tcPr>
            <w:tcW w:w="2861" w:type="dxa"/>
            <w:shd w:val="clear" w:color="auto" w:fill="auto"/>
          </w:tcPr>
          <w:p w14:paraId="41470796"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NTC</w:t>
            </w:r>
          </w:p>
        </w:tc>
        <w:tc>
          <w:tcPr>
            <w:tcW w:w="5779" w:type="dxa"/>
            <w:shd w:val="clear" w:color="auto" w:fill="auto"/>
          </w:tcPr>
          <w:p w14:paraId="5CFAE4E0"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National Tariff Commission</w:t>
            </w:r>
          </w:p>
        </w:tc>
      </w:tr>
      <w:tr w:rsidR="00763736" w14:paraId="0B27BF5C" w14:textId="77777777" w:rsidTr="0074167D">
        <w:trPr>
          <w:jc w:val="center"/>
        </w:trPr>
        <w:tc>
          <w:tcPr>
            <w:tcW w:w="2861" w:type="dxa"/>
            <w:shd w:val="clear" w:color="auto" w:fill="auto"/>
          </w:tcPr>
          <w:p w14:paraId="57CB063E" w14:textId="5FC4D873" w:rsidR="00763736" w:rsidRPr="003D18F4" w:rsidRDefault="00763736" w:rsidP="00852B81">
            <w:pPr>
              <w:pStyle w:val="BodyText"/>
              <w:suppressAutoHyphens/>
              <w:rPr>
                <w:rFonts w:ascii="Arial" w:hAnsi="Arial"/>
                <w:sz w:val="18"/>
                <w:szCs w:val="18"/>
              </w:rPr>
            </w:pPr>
            <w:r>
              <w:rPr>
                <w:rFonts w:ascii="Arial" w:hAnsi="Arial"/>
                <w:sz w:val="18"/>
                <w:szCs w:val="18"/>
              </w:rPr>
              <w:t>PBC</w:t>
            </w:r>
          </w:p>
        </w:tc>
        <w:tc>
          <w:tcPr>
            <w:tcW w:w="5779" w:type="dxa"/>
            <w:shd w:val="clear" w:color="auto" w:fill="auto"/>
          </w:tcPr>
          <w:p w14:paraId="22BB6BEA" w14:textId="0BF90D6E" w:rsidR="00763736" w:rsidRPr="003D18F4" w:rsidRDefault="00763736" w:rsidP="00852B81">
            <w:pPr>
              <w:pStyle w:val="BodyText"/>
              <w:suppressAutoHyphens/>
              <w:rPr>
                <w:rFonts w:ascii="Arial" w:hAnsi="Arial"/>
                <w:sz w:val="18"/>
                <w:szCs w:val="18"/>
              </w:rPr>
            </w:pPr>
            <w:r>
              <w:rPr>
                <w:rFonts w:ascii="Arial" w:hAnsi="Arial"/>
                <w:sz w:val="18"/>
                <w:szCs w:val="18"/>
              </w:rPr>
              <w:t>Performance Based Conditions</w:t>
            </w:r>
          </w:p>
        </w:tc>
      </w:tr>
      <w:tr w:rsidR="00147B77" w14:paraId="709E1765" w14:textId="77777777" w:rsidTr="0094373D">
        <w:trPr>
          <w:jc w:val="center"/>
        </w:trPr>
        <w:tc>
          <w:tcPr>
            <w:tcW w:w="2861" w:type="dxa"/>
            <w:shd w:val="clear" w:color="auto" w:fill="auto"/>
          </w:tcPr>
          <w:p w14:paraId="37754386" w14:textId="77777777" w:rsidR="00147B77" w:rsidRPr="003D18F4" w:rsidRDefault="00147B77" w:rsidP="00852B81">
            <w:pPr>
              <w:pStyle w:val="BodyText"/>
              <w:suppressAutoHyphens/>
              <w:rPr>
                <w:rFonts w:ascii="Arial" w:hAnsi="Arial"/>
                <w:sz w:val="18"/>
                <w:szCs w:val="18"/>
              </w:rPr>
            </w:pPr>
            <w:r>
              <w:rPr>
                <w:rFonts w:ascii="Arial" w:hAnsi="Arial"/>
                <w:sz w:val="18"/>
                <w:szCs w:val="18"/>
              </w:rPr>
              <w:t>PBS</w:t>
            </w:r>
          </w:p>
        </w:tc>
        <w:tc>
          <w:tcPr>
            <w:tcW w:w="5779" w:type="dxa"/>
            <w:shd w:val="clear" w:color="auto" w:fill="auto"/>
          </w:tcPr>
          <w:p w14:paraId="28AC2F44" w14:textId="77777777" w:rsidR="00147B77" w:rsidRPr="003D18F4" w:rsidRDefault="00147B77" w:rsidP="00852B81">
            <w:pPr>
              <w:pStyle w:val="BodyText"/>
              <w:suppressAutoHyphens/>
              <w:rPr>
                <w:rFonts w:ascii="Arial" w:hAnsi="Arial"/>
                <w:sz w:val="18"/>
                <w:szCs w:val="18"/>
              </w:rPr>
            </w:pPr>
            <w:r>
              <w:rPr>
                <w:rFonts w:ascii="Arial" w:hAnsi="Arial"/>
                <w:sz w:val="18"/>
                <w:szCs w:val="18"/>
              </w:rPr>
              <w:t>Pakistan Bureau of Statistics</w:t>
            </w:r>
          </w:p>
        </w:tc>
      </w:tr>
      <w:tr w:rsidR="00147B77" w14:paraId="5F77B6C3" w14:textId="77777777" w:rsidTr="0094373D">
        <w:trPr>
          <w:jc w:val="center"/>
        </w:trPr>
        <w:tc>
          <w:tcPr>
            <w:tcW w:w="2861" w:type="dxa"/>
            <w:shd w:val="clear" w:color="auto" w:fill="auto"/>
          </w:tcPr>
          <w:p w14:paraId="7BF479C5"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PDU</w:t>
            </w:r>
          </w:p>
        </w:tc>
        <w:tc>
          <w:tcPr>
            <w:tcW w:w="5779" w:type="dxa"/>
            <w:shd w:val="clear" w:color="auto" w:fill="auto"/>
          </w:tcPr>
          <w:p w14:paraId="6CF072F9"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Performance Delivery Unit</w:t>
            </w:r>
          </w:p>
        </w:tc>
      </w:tr>
      <w:tr w:rsidR="00147B77" w14:paraId="4569083F" w14:textId="77777777" w:rsidTr="0094373D">
        <w:trPr>
          <w:jc w:val="center"/>
        </w:trPr>
        <w:tc>
          <w:tcPr>
            <w:tcW w:w="2861" w:type="dxa"/>
            <w:shd w:val="clear" w:color="auto" w:fill="auto"/>
          </w:tcPr>
          <w:p w14:paraId="0EAB3DDF"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PGG</w:t>
            </w:r>
          </w:p>
        </w:tc>
        <w:tc>
          <w:tcPr>
            <w:tcW w:w="5779" w:type="dxa"/>
            <w:shd w:val="clear" w:color="auto" w:fill="auto"/>
          </w:tcPr>
          <w:p w14:paraId="5A713E1F"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Pakistan Goes Global</w:t>
            </w:r>
          </w:p>
        </w:tc>
      </w:tr>
      <w:tr w:rsidR="008F4B65" w14:paraId="2BED6538" w14:textId="77777777" w:rsidTr="0094373D">
        <w:trPr>
          <w:jc w:val="center"/>
        </w:trPr>
        <w:tc>
          <w:tcPr>
            <w:tcW w:w="2861" w:type="dxa"/>
            <w:shd w:val="clear" w:color="auto" w:fill="auto"/>
          </w:tcPr>
          <w:p w14:paraId="0ACAA760" w14:textId="05D19791" w:rsidR="008F4B65" w:rsidRDefault="008F4B65" w:rsidP="00852B81">
            <w:pPr>
              <w:pStyle w:val="BodyText"/>
              <w:suppressAutoHyphens/>
              <w:rPr>
                <w:rFonts w:ascii="Arial" w:hAnsi="Arial"/>
                <w:sz w:val="18"/>
                <w:szCs w:val="18"/>
              </w:rPr>
            </w:pPr>
            <w:r>
              <w:rPr>
                <w:rFonts w:ascii="Arial" w:hAnsi="Arial"/>
                <w:sz w:val="18"/>
                <w:szCs w:val="18"/>
              </w:rPr>
              <w:t>PGG Board</w:t>
            </w:r>
          </w:p>
        </w:tc>
        <w:tc>
          <w:tcPr>
            <w:tcW w:w="5779" w:type="dxa"/>
            <w:shd w:val="clear" w:color="auto" w:fill="auto"/>
          </w:tcPr>
          <w:p w14:paraId="1B83D775" w14:textId="4569581A" w:rsidR="008F4B65" w:rsidRDefault="008F4B65" w:rsidP="00852B81">
            <w:pPr>
              <w:pStyle w:val="BodyText"/>
              <w:suppressAutoHyphens/>
              <w:rPr>
                <w:rFonts w:ascii="Arial" w:hAnsi="Arial"/>
                <w:sz w:val="18"/>
                <w:szCs w:val="18"/>
              </w:rPr>
            </w:pPr>
            <w:r>
              <w:rPr>
                <w:rFonts w:ascii="Arial" w:hAnsi="Arial"/>
                <w:sz w:val="18"/>
                <w:szCs w:val="18"/>
              </w:rPr>
              <w:t>Pakistan Goes Global Board</w:t>
            </w:r>
          </w:p>
        </w:tc>
      </w:tr>
      <w:tr w:rsidR="000A38BD" w14:paraId="64C62824" w14:textId="77777777" w:rsidTr="0094373D">
        <w:trPr>
          <w:jc w:val="center"/>
        </w:trPr>
        <w:tc>
          <w:tcPr>
            <w:tcW w:w="2861" w:type="dxa"/>
            <w:shd w:val="clear" w:color="auto" w:fill="auto"/>
          </w:tcPr>
          <w:p w14:paraId="5E3B788B" w14:textId="20FEE3C4" w:rsidR="000A38BD" w:rsidRPr="003D18F4" w:rsidRDefault="000A38BD" w:rsidP="00852B81">
            <w:pPr>
              <w:pStyle w:val="BodyText"/>
              <w:suppressAutoHyphens/>
              <w:rPr>
                <w:rFonts w:ascii="Arial" w:hAnsi="Arial"/>
                <w:sz w:val="18"/>
                <w:szCs w:val="18"/>
              </w:rPr>
            </w:pPr>
            <w:r>
              <w:rPr>
                <w:rFonts w:ascii="Arial" w:hAnsi="Arial"/>
                <w:sz w:val="18"/>
                <w:szCs w:val="18"/>
              </w:rPr>
              <w:t>PTF</w:t>
            </w:r>
          </w:p>
        </w:tc>
        <w:tc>
          <w:tcPr>
            <w:tcW w:w="5779" w:type="dxa"/>
            <w:shd w:val="clear" w:color="auto" w:fill="auto"/>
          </w:tcPr>
          <w:p w14:paraId="2A8C55D9" w14:textId="6D74A540" w:rsidR="000A38BD" w:rsidRPr="003D18F4" w:rsidRDefault="000A38BD" w:rsidP="00852B81">
            <w:pPr>
              <w:pStyle w:val="BodyText"/>
              <w:suppressAutoHyphens/>
              <w:rPr>
                <w:rFonts w:ascii="Arial" w:hAnsi="Arial"/>
                <w:sz w:val="18"/>
                <w:szCs w:val="18"/>
              </w:rPr>
            </w:pPr>
            <w:r>
              <w:rPr>
                <w:rFonts w:ascii="Arial" w:hAnsi="Arial"/>
                <w:sz w:val="18"/>
                <w:szCs w:val="18"/>
              </w:rPr>
              <w:t>Project Task Force</w:t>
            </w:r>
          </w:p>
        </w:tc>
      </w:tr>
      <w:tr w:rsidR="00147B77" w14:paraId="3429CDA0" w14:textId="77777777" w:rsidTr="0094373D">
        <w:trPr>
          <w:jc w:val="center"/>
        </w:trPr>
        <w:tc>
          <w:tcPr>
            <w:tcW w:w="2861" w:type="dxa"/>
            <w:shd w:val="clear" w:color="auto" w:fill="auto"/>
          </w:tcPr>
          <w:p w14:paraId="696E42AF"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PMU</w:t>
            </w:r>
          </w:p>
        </w:tc>
        <w:tc>
          <w:tcPr>
            <w:tcW w:w="5779" w:type="dxa"/>
            <w:shd w:val="clear" w:color="auto" w:fill="auto"/>
          </w:tcPr>
          <w:p w14:paraId="46011FB2"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Project Management Unit</w:t>
            </w:r>
          </w:p>
        </w:tc>
      </w:tr>
      <w:tr w:rsidR="00147B77" w14:paraId="57232E45" w14:textId="77777777" w:rsidTr="0094373D">
        <w:trPr>
          <w:jc w:val="center"/>
        </w:trPr>
        <w:tc>
          <w:tcPr>
            <w:tcW w:w="2861" w:type="dxa"/>
            <w:shd w:val="clear" w:color="auto" w:fill="auto"/>
          </w:tcPr>
          <w:p w14:paraId="42C2446C"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SBP</w:t>
            </w:r>
          </w:p>
        </w:tc>
        <w:tc>
          <w:tcPr>
            <w:tcW w:w="5779" w:type="dxa"/>
            <w:shd w:val="clear" w:color="auto" w:fill="auto"/>
          </w:tcPr>
          <w:p w14:paraId="31C7C026"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State Bank of Pakistan</w:t>
            </w:r>
          </w:p>
        </w:tc>
      </w:tr>
      <w:tr w:rsidR="00147B77" w14:paraId="251ACE6A" w14:textId="77777777" w:rsidTr="0094373D">
        <w:trPr>
          <w:jc w:val="center"/>
        </w:trPr>
        <w:tc>
          <w:tcPr>
            <w:tcW w:w="2861" w:type="dxa"/>
            <w:shd w:val="clear" w:color="auto" w:fill="auto"/>
          </w:tcPr>
          <w:p w14:paraId="7BB2FD4E"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SEP</w:t>
            </w:r>
          </w:p>
        </w:tc>
        <w:tc>
          <w:tcPr>
            <w:tcW w:w="5779" w:type="dxa"/>
            <w:shd w:val="clear" w:color="auto" w:fill="auto"/>
          </w:tcPr>
          <w:p w14:paraId="1CAC9D4A"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Stakeholder Engagement Plan</w:t>
            </w:r>
          </w:p>
        </w:tc>
      </w:tr>
      <w:tr w:rsidR="00147B77" w14:paraId="7A9EE208" w14:textId="77777777" w:rsidTr="0094373D">
        <w:trPr>
          <w:jc w:val="center"/>
        </w:trPr>
        <w:tc>
          <w:tcPr>
            <w:tcW w:w="2861" w:type="dxa"/>
            <w:shd w:val="clear" w:color="auto" w:fill="auto"/>
          </w:tcPr>
          <w:p w14:paraId="3A4D5A74"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SRO</w:t>
            </w:r>
          </w:p>
        </w:tc>
        <w:tc>
          <w:tcPr>
            <w:tcW w:w="5779" w:type="dxa"/>
            <w:shd w:val="clear" w:color="auto" w:fill="auto"/>
          </w:tcPr>
          <w:p w14:paraId="4493F15A"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Statutory Regulatory Order</w:t>
            </w:r>
          </w:p>
        </w:tc>
      </w:tr>
      <w:tr w:rsidR="009644E0" w14:paraId="35E4C14D" w14:textId="77777777" w:rsidTr="0094373D">
        <w:trPr>
          <w:jc w:val="center"/>
        </w:trPr>
        <w:tc>
          <w:tcPr>
            <w:tcW w:w="2861" w:type="dxa"/>
            <w:shd w:val="clear" w:color="auto" w:fill="auto"/>
          </w:tcPr>
          <w:p w14:paraId="491CE9A8" w14:textId="23D883D0" w:rsidR="009644E0" w:rsidRPr="003D18F4" w:rsidRDefault="009644E0" w:rsidP="00852B81">
            <w:pPr>
              <w:pStyle w:val="BodyText"/>
              <w:suppressAutoHyphens/>
              <w:rPr>
                <w:rFonts w:ascii="Arial" w:hAnsi="Arial"/>
                <w:sz w:val="18"/>
                <w:szCs w:val="18"/>
              </w:rPr>
            </w:pPr>
            <w:r>
              <w:rPr>
                <w:rFonts w:ascii="Arial" w:hAnsi="Arial"/>
                <w:sz w:val="18"/>
                <w:szCs w:val="18"/>
              </w:rPr>
              <w:t>SSU</w:t>
            </w:r>
          </w:p>
        </w:tc>
        <w:tc>
          <w:tcPr>
            <w:tcW w:w="5779" w:type="dxa"/>
            <w:shd w:val="clear" w:color="auto" w:fill="auto"/>
          </w:tcPr>
          <w:p w14:paraId="753CBB27" w14:textId="44457810" w:rsidR="009644E0" w:rsidRPr="003D18F4" w:rsidRDefault="009644E0" w:rsidP="00852B81">
            <w:pPr>
              <w:pStyle w:val="BodyText"/>
              <w:suppressAutoHyphens/>
              <w:rPr>
                <w:rFonts w:ascii="Arial" w:hAnsi="Arial"/>
                <w:sz w:val="18"/>
                <w:szCs w:val="18"/>
              </w:rPr>
            </w:pPr>
            <w:r>
              <w:rPr>
                <w:rFonts w:ascii="Arial" w:hAnsi="Arial"/>
                <w:sz w:val="18"/>
                <w:szCs w:val="18"/>
              </w:rPr>
              <w:t>Shared Services Unit</w:t>
            </w:r>
          </w:p>
        </w:tc>
      </w:tr>
      <w:tr w:rsidR="00147B77" w14:paraId="110530F7" w14:textId="77777777" w:rsidTr="0094373D">
        <w:trPr>
          <w:jc w:val="center"/>
        </w:trPr>
        <w:tc>
          <w:tcPr>
            <w:tcW w:w="2861" w:type="dxa"/>
            <w:shd w:val="clear" w:color="auto" w:fill="auto"/>
          </w:tcPr>
          <w:p w14:paraId="3C525307"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STPF</w:t>
            </w:r>
          </w:p>
        </w:tc>
        <w:tc>
          <w:tcPr>
            <w:tcW w:w="5779" w:type="dxa"/>
            <w:shd w:val="clear" w:color="auto" w:fill="auto"/>
          </w:tcPr>
          <w:p w14:paraId="3D4812C7"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Strategic Trade Policy Framework</w:t>
            </w:r>
          </w:p>
        </w:tc>
      </w:tr>
      <w:tr w:rsidR="00147B77" w14:paraId="10063C47" w14:textId="77777777" w:rsidTr="0094373D">
        <w:trPr>
          <w:jc w:val="center"/>
        </w:trPr>
        <w:tc>
          <w:tcPr>
            <w:tcW w:w="2861" w:type="dxa"/>
            <w:shd w:val="clear" w:color="auto" w:fill="auto"/>
          </w:tcPr>
          <w:p w14:paraId="0F3430F3"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T&amp;I</w:t>
            </w:r>
          </w:p>
        </w:tc>
        <w:tc>
          <w:tcPr>
            <w:tcW w:w="5779" w:type="dxa"/>
            <w:shd w:val="clear" w:color="auto" w:fill="auto"/>
          </w:tcPr>
          <w:p w14:paraId="60469D1D"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Trade and Investment</w:t>
            </w:r>
          </w:p>
        </w:tc>
      </w:tr>
      <w:tr w:rsidR="00147B77" w14:paraId="1C6326E9" w14:textId="77777777" w:rsidTr="0094373D">
        <w:trPr>
          <w:jc w:val="center"/>
        </w:trPr>
        <w:tc>
          <w:tcPr>
            <w:tcW w:w="2861" w:type="dxa"/>
            <w:shd w:val="clear" w:color="auto" w:fill="auto"/>
          </w:tcPr>
          <w:p w14:paraId="5A4321FE"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TDAP</w:t>
            </w:r>
          </w:p>
        </w:tc>
        <w:tc>
          <w:tcPr>
            <w:tcW w:w="5779" w:type="dxa"/>
            <w:shd w:val="clear" w:color="auto" w:fill="auto"/>
          </w:tcPr>
          <w:p w14:paraId="5C7C01EF" w14:textId="77777777" w:rsidR="00147B77" w:rsidRPr="003D18F4" w:rsidRDefault="00147B77" w:rsidP="00852B81">
            <w:pPr>
              <w:pStyle w:val="BodyText"/>
              <w:suppressAutoHyphens/>
              <w:rPr>
                <w:rFonts w:ascii="Arial" w:hAnsi="Arial"/>
                <w:sz w:val="18"/>
                <w:szCs w:val="18"/>
              </w:rPr>
            </w:pPr>
            <w:r w:rsidRPr="003D18F4">
              <w:rPr>
                <w:rFonts w:ascii="Arial" w:hAnsi="Arial"/>
                <w:sz w:val="18"/>
                <w:szCs w:val="18"/>
              </w:rPr>
              <w:t>Trade Development Authority of Pakistan</w:t>
            </w:r>
          </w:p>
        </w:tc>
      </w:tr>
      <w:tr w:rsidR="00431CDD" w14:paraId="40053A78" w14:textId="77777777" w:rsidTr="0094373D">
        <w:trPr>
          <w:jc w:val="center"/>
        </w:trPr>
        <w:tc>
          <w:tcPr>
            <w:tcW w:w="2861" w:type="dxa"/>
            <w:shd w:val="clear" w:color="auto" w:fill="auto"/>
          </w:tcPr>
          <w:p w14:paraId="49CEE710" w14:textId="23A0EB1B" w:rsidR="00431CDD" w:rsidRPr="003D18F4" w:rsidRDefault="00431CDD" w:rsidP="00852B81">
            <w:pPr>
              <w:pStyle w:val="BodyText"/>
              <w:suppressAutoHyphens/>
              <w:rPr>
                <w:rFonts w:ascii="Arial" w:hAnsi="Arial"/>
                <w:sz w:val="18"/>
                <w:szCs w:val="18"/>
              </w:rPr>
            </w:pPr>
            <w:r>
              <w:rPr>
                <w:rFonts w:ascii="Arial" w:hAnsi="Arial"/>
                <w:sz w:val="18"/>
                <w:szCs w:val="18"/>
              </w:rPr>
              <w:t>TPW</w:t>
            </w:r>
          </w:p>
        </w:tc>
        <w:tc>
          <w:tcPr>
            <w:tcW w:w="5779" w:type="dxa"/>
            <w:shd w:val="clear" w:color="auto" w:fill="auto"/>
          </w:tcPr>
          <w:p w14:paraId="21832A94" w14:textId="6F6838A8" w:rsidR="00431CDD" w:rsidRPr="003D18F4" w:rsidRDefault="00431CDD" w:rsidP="00852B81">
            <w:pPr>
              <w:pStyle w:val="BodyText"/>
              <w:suppressAutoHyphens/>
              <w:rPr>
                <w:rFonts w:ascii="Arial" w:hAnsi="Arial"/>
                <w:sz w:val="18"/>
                <w:szCs w:val="18"/>
              </w:rPr>
            </w:pPr>
            <w:r>
              <w:rPr>
                <w:rFonts w:ascii="Arial" w:hAnsi="Arial"/>
                <w:sz w:val="18"/>
                <w:szCs w:val="18"/>
              </w:rPr>
              <w:t>Trade Policy Wing</w:t>
            </w:r>
          </w:p>
        </w:tc>
      </w:tr>
    </w:tbl>
    <w:p w14:paraId="70AA28FA" w14:textId="77777777" w:rsidR="00A028B3" w:rsidRDefault="00A028B3" w:rsidP="00AB0A86">
      <w:pPr>
        <w:rPr>
          <w:rFonts w:ascii="Arial" w:hAnsi="Arial"/>
          <w:b/>
          <w:bCs/>
        </w:rPr>
        <w:sectPr w:rsidR="00A028B3" w:rsidSect="002C5DA5">
          <w:footerReference w:type="default" r:id="rId18"/>
          <w:pgSz w:w="12240" w:h="15840"/>
          <w:pgMar w:top="1440" w:right="1800" w:bottom="1440" w:left="1800" w:header="720" w:footer="720" w:gutter="0"/>
          <w:cols w:space="720"/>
        </w:sectPr>
      </w:pPr>
    </w:p>
    <w:p w14:paraId="457C75EB" w14:textId="20867DBA" w:rsidR="00290024" w:rsidRDefault="00290024" w:rsidP="00AB0A86">
      <w:pPr>
        <w:pStyle w:val="Heading1"/>
      </w:pPr>
      <w:bookmarkStart w:id="1" w:name="_Toc452826909"/>
      <w:r>
        <w:lastRenderedPageBreak/>
        <w:t>Introduction</w:t>
      </w:r>
      <w:bookmarkEnd w:id="1"/>
    </w:p>
    <w:p w14:paraId="46428BD0" w14:textId="0F240B46" w:rsidR="00091394" w:rsidRDefault="00091394" w:rsidP="003E3DFE">
      <w:pPr>
        <w:pStyle w:val="BodyText"/>
        <w:jc w:val="both"/>
        <w:rPr>
          <w:lang w:val="en-GB"/>
        </w:rPr>
      </w:pPr>
      <w:r w:rsidRPr="00091394">
        <w:rPr>
          <w:lang w:val="en-GB"/>
        </w:rPr>
        <w:t xml:space="preserve">This document constitutes the </w:t>
      </w:r>
      <w:r w:rsidR="00B42612">
        <w:rPr>
          <w:lang w:val="en-GB"/>
        </w:rPr>
        <w:t>Stakeholder Engagement Plan</w:t>
      </w:r>
      <w:r w:rsidRPr="00091394">
        <w:rPr>
          <w:lang w:val="en-GB"/>
        </w:rPr>
        <w:t xml:space="preserve"> for the Pakistan Goes Global (PGG) project, being prepared by the Government of Pakistan in collaboration with the World Bank.  </w:t>
      </w:r>
    </w:p>
    <w:p w14:paraId="34A58DAD" w14:textId="1907A520" w:rsidR="00D348F5" w:rsidRPr="00091394" w:rsidRDefault="00091394" w:rsidP="00D348F5">
      <w:pPr>
        <w:pStyle w:val="BodyText"/>
        <w:jc w:val="both"/>
        <w:rPr>
          <w:lang w:val="en-GB"/>
        </w:rPr>
      </w:pPr>
      <w:r w:rsidRPr="00091394">
        <w:rPr>
          <w:lang w:val="en-GB"/>
        </w:rPr>
        <w:t xml:space="preserve">The overall objective of </w:t>
      </w:r>
      <w:r w:rsidR="00B42612">
        <w:rPr>
          <w:lang w:val="en-GB"/>
        </w:rPr>
        <w:t>PGG</w:t>
      </w:r>
      <w:r w:rsidRPr="00091394">
        <w:rPr>
          <w:lang w:val="en-GB"/>
        </w:rPr>
        <w:t xml:space="preserve"> is to</w:t>
      </w:r>
      <w:r>
        <w:rPr>
          <w:lang w:val="en-GB"/>
        </w:rPr>
        <w:t xml:space="preserve"> </w:t>
      </w:r>
      <w:r w:rsidR="00D348F5" w:rsidRPr="00091394">
        <w:rPr>
          <w:lang w:val="en-GB"/>
        </w:rPr>
        <w:t xml:space="preserve">improve the enabling environment for exports and </w:t>
      </w:r>
      <w:r w:rsidR="00D348F5">
        <w:rPr>
          <w:lang w:val="en-GB"/>
        </w:rPr>
        <w:t>strengthen export promotion</w:t>
      </w:r>
      <w:r w:rsidR="00D348F5" w:rsidRPr="00091394">
        <w:rPr>
          <w:lang w:val="en-GB"/>
        </w:rPr>
        <w:t>.</w:t>
      </w:r>
      <w:r w:rsidRPr="00091394">
        <w:rPr>
          <w:lang w:val="en-GB"/>
        </w:rPr>
        <w:t xml:space="preserve">  Specifically, the project will focus on</w:t>
      </w:r>
      <w:r w:rsidR="00983B27">
        <w:rPr>
          <w:lang w:val="en-GB"/>
        </w:rPr>
        <w:t xml:space="preserve"> </w:t>
      </w:r>
      <w:r w:rsidRPr="00091394">
        <w:rPr>
          <w:lang w:val="en-GB"/>
        </w:rPr>
        <w:t>investments around three aspects of the enabling environment for exports: export promotion infrastructure, automation of government to business interactions to reduce costs and increase transparency, and implementation support to reduce the country’s anti-export</w:t>
      </w:r>
      <w:r>
        <w:rPr>
          <w:lang w:val="en-GB"/>
        </w:rPr>
        <w:t xml:space="preserve"> bias</w:t>
      </w:r>
      <w:r w:rsidR="00983B27">
        <w:rPr>
          <w:lang w:val="en-GB"/>
        </w:rPr>
        <w:t xml:space="preserve">, and on the other, on investments in </w:t>
      </w:r>
      <w:r w:rsidR="00D348F5">
        <w:rPr>
          <w:lang w:val="en-GB"/>
        </w:rPr>
        <w:t>export promotion infrastructure</w:t>
      </w:r>
      <w:r>
        <w:rPr>
          <w:lang w:val="en-GB"/>
        </w:rPr>
        <w:t xml:space="preserve">.  </w:t>
      </w:r>
      <w:r w:rsidRPr="00091394">
        <w:rPr>
          <w:lang w:val="en-GB"/>
        </w:rPr>
        <w:t xml:space="preserve">The project has </w:t>
      </w:r>
      <w:r w:rsidR="00D35A13">
        <w:rPr>
          <w:lang w:val="en-GB"/>
        </w:rPr>
        <w:t>two</w:t>
      </w:r>
      <w:r w:rsidRPr="00091394">
        <w:rPr>
          <w:lang w:val="en-GB"/>
        </w:rPr>
        <w:t xml:space="preserve"> main components:</w:t>
      </w:r>
      <w:r w:rsidR="005944C1">
        <w:rPr>
          <w:lang w:val="en-GB"/>
        </w:rPr>
        <w:t xml:space="preserve">  1) </w:t>
      </w:r>
      <w:r w:rsidR="005944C1" w:rsidRPr="005944C1">
        <w:rPr>
          <w:lang w:val="en-GB"/>
        </w:rPr>
        <w:t xml:space="preserve">Investing in the </w:t>
      </w:r>
      <w:r w:rsidR="00D35A13">
        <w:rPr>
          <w:lang w:val="en-GB"/>
        </w:rPr>
        <w:t>e</w:t>
      </w:r>
      <w:r w:rsidR="005944C1" w:rsidRPr="005944C1">
        <w:rPr>
          <w:lang w:val="en-GB"/>
        </w:rPr>
        <w:t xml:space="preserve">nabling </w:t>
      </w:r>
      <w:r w:rsidR="00D35A13">
        <w:rPr>
          <w:lang w:val="en-GB"/>
        </w:rPr>
        <w:t>e</w:t>
      </w:r>
      <w:r w:rsidR="005944C1" w:rsidRPr="005944C1">
        <w:rPr>
          <w:lang w:val="en-GB"/>
        </w:rPr>
        <w:t xml:space="preserve">nvironment for </w:t>
      </w:r>
      <w:r w:rsidR="00D35A13">
        <w:rPr>
          <w:lang w:val="en-GB"/>
        </w:rPr>
        <w:t>e</w:t>
      </w:r>
      <w:r w:rsidR="005944C1" w:rsidRPr="005944C1">
        <w:rPr>
          <w:lang w:val="en-GB"/>
        </w:rPr>
        <w:t>xporting</w:t>
      </w:r>
      <w:r w:rsidR="005944C1">
        <w:rPr>
          <w:lang w:val="en-GB"/>
        </w:rPr>
        <w:t xml:space="preserve">; </w:t>
      </w:r>
      <w:r w:rsidR="00D35A13">
        <w:rPr>
          <w:lang w:val="en-GB"/>
        </w:rPr>
        <w:t xml:space="preserve">and </w:t>
      </w:r>
      <w:r w:rsidR="005944C1">
        <w:rPr>
          <w:lang w:val="en-GB"/>
        </w:rPr>
        <w:t xml:space="preserve">2) </w:t>
      </w:r>
      <w:r w:rsidR="005944C1" w:rsidRPr="005944C1">
        <w:rPr>
          <w:lang w:val="en-GB"/>
        </w:rPr>
        <w:t xml:space="preserve">Investing in </w:t>
      </w:r>
      <w:r w:rsidR="00D348F5">
        <w:rPr>
          <w:lang w:val="en-GB"/>
        </w:rPr>
        <w:t>export promotion infrastructure</w:t>
      </w:r>
      <w:r w:rsidRPr="00091394">
        <w:rPr>
          <w:lang w:val="en-GB"/>
        </w:rPr>
        <w:t xml:space="preserve">.   Each of the </w:t>
      </w:r>
      <w:r w:rsidR="00D35A13">
        <w:rPr>
          <w:lang w:val="en-GB"/>
        </w:rPr>
        <w:t>two</w:t>
      </w:r>
      <w:r w:rsidRPr="00091394">
        <w:rPr>
          <w:lang w:val="en-GB"/>
        </w:rPr>
        <w:t xml:space="preserve"> components will contribute in synergy to strengthen trade and investment competitiveness in Pakistan, by redesigning the institutional set up and increasing transparency and accountability of government funded support programs, improving the incentive schemes so that trade and investment costs are reduced, and upgrading </w:t>
      </w:r>
      <w:r w:rsidR="00D348F5">
        <w:rPr>
          <w:lang w:val="en-GB"/>
        </w:rPr>
        <w:t>the export promotion infrastructure</w:t>
      </w:r>
      <w:r w:rsidRPr="00091394">
        <w:rPr>
          <w:lang w:val="en-GB"/>
        </w:rPr>
        <w:t xml:space="preserve"> to </w:t>
      </w:r>
      <w:r w:rsidR="00D348F5">
        <w:rPr>
          <w:lang w:val="en-GB"/>
        </w:rPr>
        <w:t xml:space="preserve">better </w:t>
      </w:r>
      <w:r w:rsidRPr="00091394">
        <w:rPr>
          <w:lang w:val="en-GB"/>
        </w:rPr>
        <w:t xml:space="preserve">tap into export market opportunities.  </w:t>
      </w:r>
      <w:r w:rsidR="00D348F5">
        <w:rPr>
          <w:lang w:val="en-GB"/>
        </w:rPr>
        <w:t>A third component will deal with contingent emergency response, or issues arising due to the ongoing COVID 19 pandemic or other emergencies.</w:t>
      </w:r>
    </w:p>
    <w:p w14:paraId="60F73627" w14:textId="74D132E6" w:rsidR="00792173" w:rsidRDefault="00792173" w:rsidP="003E3DFE">
      <w:pPr>
        <w:pStyle w:val="BodyText"/>
        <w:jc w:val="both"/>
        <w:rPr>
          <w:lang w:val="en-GB"/>
        </w:rPr>
      </w:pPr>
      <w:r>
        <w:rPr>
          <w:lang w:val="en-GB"/>
        </w:rPr>
        <w:t xml:space="preserve">In terms of areas of operation, component 1 focuses on investing in institutional strengthening for export competitiveness. </w:t>
      </w:r>
      <w:r w:rsidR="00E54476">
        <w:rPr>
          <w:lang w:val="en-GB"/>
        </w:rPr>
        <w:t xml:space="preserve">This involves supporting the establishment of a </w:t>
      </w:r>
      <w:r w:rsidR="00584E67">
        <w:rPr>
          <w:lang w:val="en-GB"/>
        </w:rPr>
        <w:t>Pakistan Goes Global (PGG) Board</w:t>
      </w:r>
      <w:r w:rsidR="00E54476">
        <w:rPr>
          <w:lang w:val="en-GB"/>
        </w:rPr>
        <w:t xml:space="preserve"> to coordinate export promotion efforts across different institutions and different tiers of government; creating a one stop shop for business licensing</w:t>
      </w:r>
      <w:r w:rsidR="00D348F5">
        <w:rPr>
          <w:lang w:val="en-GB"/>
        </w:rPr>
        <w:t xml:space="preserve"> and regulation</w:t>
      </w:r>
      <w:r w:rsidR="00E54476">
        <w:rPr>
          <w:lang w:val="en-GB"/>
        </w:rPr>
        <w:t xml:space="preserve"> in Pakistan, and strengthening the institutions responsible for trade policy</w:t>
      </w:r>
      <w:r w:rsidR="00D348F5">
        <w:rPr>
          <w:lang w:val="en-GB"/>
        </w:rPr>
        <w:t>,</w:t>
      </w:r>
      <w:r w:rsidR="00E54476">
        <w:rPr>
          <w:lang w:val="en-GB"/>
        </w:rPr>
        <w:t xml:space="preserve"> </w:t>
      </w:r>
      <w:r w:rsidR="00D348F5">
        <w:rPr>
          <w:lang w:val="en-GB"/>
        </w:rPr>
        <w:t xml:space="preserve">as well as </w:t>
      </w:r>
      <w:r w:rsidR="00E54476">
        <w:rPr>
          <w:lang w:val="en-GB"/>
        </w:rPr>
        <w:t xml:space="preserve">tariff policy formulation.  </w:t>
      </w:r>
      <w:r w:rsidR="00D348F5">
        <w:rPr>
          <w:lang w:val="en-GB"/>
        </w:rPr>
        <w:t>Component 2</w:t>
      </w:r>
      <w:r w:rsidR="00E54476">
        <w:rPr>
          <w:lang w:val="en-GB"/>
        </w:rPr>
        <w:t xml:space="preserve"> will support the launch of a country branding campaign, and other efforts to modernize Pakistan’s trade diplomacy; in addition to creating mechanisms to link local sellers with global markets</w:t>
      </w:r>
      <w:r w:rsidR="00D348F5">
        <w:rPr>
          <w:lang w:val="en-GB"/>
        </w:rPr>
        <w:t>, both in person and through virtual events</w:t>
      </w:r>
      <w:r w:rsidR="00E54476">
        <w:rPr>
          <w:lang w:val="en-GB"/>
        </w:rPr>
        <w:t>.</w:t>
      </w:r>
    </w:p>
    <w:p w14:paraId="49CEE70B" w14:textId="77777777" w:rsidR="00D710F5" w:rsidRPr="00ED63E9" w:rsidRDefault="00D710F5" w:rsidP="003E3DFE">
      <w:pPr>
        <w:pStyle w:val="Heading2"/>
        <w:jc w:val="both"/>
      </w:pPr>
      <w:bookmarkStart w:id="2" w:name="_Toc430790353"/>
      <w:bookmarkStart w:id="3" w:name="_Toc436419345"/>
      <w:bookmarkStart w:id="4" w:name="_Toc452826910"/>
      <w:r w:rsidRPr="00ED63E9">
        <w:t>Stage of the Project</w:t>
      </w:r>
      <w:bookmarkEnd w:id="2"/>
      <w:bookmarkEnd w:id="3"/>
      <w:bookmarkEnd w:id="4"/>
    </w:p>
    <w:p w14:paraId="218270D5" w14:textId="7C8D3681" w:rsidR="00D710F5" w:rsidRDefault="00D710F5" w:rsidP="003E3DFE">
      <w:pPr>
        <w:pStyle w:val="BodyText"/>
        <w:jc w:val="both"/>
      </w:pPr>
      <w:r>
        <w:t>The pro</w:t>
      </w:r>
      <w:r w:rsidR="000B2E7B">
        <w:t>ject</w:t>
      </w:r>
      <w:r>
        <w:t xml:space="preserve"> is </w:t>
      </w:r>
      <w:r w:rsidR="00B74ADA">
        <w:t xml:space="preserve">in </w:t>
      </w:r>
      <w:r w:rsidR="000B2E7B">
        <w:t>the final stages of preparation</w:t>
      </w:r>
      <w:r>
        <w:t xml:space="preserve">. </w:t>
      </w:r>
    </w:p>
    <w:p w14:paraId="0F439FA3" w14:textId="304FFB4B" w:rsidR="00D70AC2" w:rsidRDefault="00D70AC2" w:rsidP="003E3DFE">
      <w:pPr>
        <w:pStyle w:val="Heading2"/>
        <w:jc w:val="both"/>
      </w:pPr>
      <w:bookmarkStart w:id="5" w:name="_Toc452826911"/>
      <w:r>
        <w:t>Project Details</w:t>
      </w:r>
      <w:bookmarkEnd w:id="5"/>
    </w:p>
    <w:p w14:paraId="47C58426" w14:textId="1A75058E" w:rsidR="00D710F5" w:rsidRDefault="00D710F5" w:rsidP="003E3DFE">
      <w:pPr>
        <w:pStyle w:val="BodyText"/>
        <w:jc w:val="both"/>
      </w:pPr>
      <w:r>
        <w:t xml:space="preserve">The Government is cognizant of the fact that there is a lack of coordination between various departments which are dealing with matters pertaining to commerce and trade. There is an increased realization that if the country </w:t>
      </w:r>
      <w:proofErr w:type="gramStart"/>
      <w:r>
        <w:t>has to</w:t>
      </w:r>
      <w:proofErr w:type="gramEnd"/>
      <w:r>
        <w:t xml:space="preserve"> compete in the international market, there needs to be synergy of effort amongst various government agencies responsible for different elements of the trade and commerce sector. </w:t>
      </w:r>
    </w:p>
    <w:p w14:paraId="7F6B91FF" w14:textId="24ADC353" w:rsidR="00D710F5" w:rsidRDefault="00D710F5" w:rsidP="003E3DFE">
      <w:pPr>
        <w:pStyle w:val="BodyText"/>
        <w:jc w:val="both"/>
      </w:pPr>
      <w:r>
        <w:t xml:space="preserve">The program is designed to </w:t>
      </w:r>
      <w:r w:rsidR="00721199">
        <w:t xml:space="preserve">increase strategic coordination of government agencies and </w:t>
      </w:r>
      <w:r w:rsidR="00B74ADA">
        <w:t xml:space="preserve">to promote </w:t>
      </w:r>
      <w:r w:rsidR="00721199">
        <w:t>evidence</w:t>
      </w:r>
      <w:r w:rsidR="00F465CE">
        <w:t>-</w:t>
      </w:r>
      <w:r w:rsidR="00721199">
        <w:t xml:space="preserve">based policymaking; investments towards automation, </w:t>
      </w:r>
      <w:r w:rsidR="00B74ADA">
        <w:t xml:space="preserve">and </w:t>
      </w:r>
      <w:r w:rsidR="00721199">
        <w:t xml:space="preserve">investments towards export promotion. </w:t>
      </w:r>
      <w:r w:rsidRPr="005B25AA">
        <w:t>The operation will finance both direct expenditures procured under specific activities</w:t>
      </w:r>
      <w:r>
        <w:t xml:space="preserve">, </w:t>
      </w:r>
      <w:r w:rsidR="00F11049">
        <w:t>a</w:t>
      </w:r>
      <w:r w:rsidRPr="005B25AA">
        <w:t xml:space="preserve">s well as expenditure programs </w:t>
      </w:r>
      <w:r w:rsidRPr="005B25AA">
        <w:lastRenderedPageBreak/>
        <w:t xml:space="preserve">associated with </w:t>
      </w:r>
      <w:r w:rsidR="00CD2273">
        <w:t>performance</w:t>
      </w:r>
      <w:r w:rsidR="00F465CE">
        <w:t>-</w:t>
      </w:r>
      <w:r w:rsidR="00CD2273">
        <w:t>based conditions (PBCs)</w:t>
      </w:r>
      <w:r w:rsidRPr="005B25AA">
        <w:t xml:space="preserve"> aimed at achieving results under the different components</w:t>
      </w:r>
      <w:r>
        <w:t xml:space="preserve">.  </w:t>
      </w:r>
    </w:p>
    <w:p w14:paraId="3CF6EDB6" w14:textId="74DC5941" w:rsidR="00D710F5" w:rsidRPr="0094373D" w:rsidRDefault="00D710F5" w:rsidP="003E3DFE">
      <w:pPr>
        <w:pStyle w:val="BodyText"/>
        <w:jc w:val="both"/>
        <w:rPr>
          <w:rStyle w:val="Emphasis"/>
          <w:sz w:val="22"/>
          <w:szCs w:val="22"/>
        </w:rPr>
      </w:pPr>
      <w:r w:rsidRPr="0094373D">
        <w:rPr>
          <w:rStyle w:val="Emphasis"/>
          <w:sz w:val="22"/>
          <w:szCs w:val="22"/>
        </w:rPr>
        <w:t>Component</w:t>
      </w:r>
      <w:r w:rsidR="00284AEF" w:rsidRPr="0094373D">
        <w:rPr>
          <w:rStyle w:val="Emphasis"/>
          <w:sz w:val="22"/>
          <w:szCs w:val="22"/>
        </w:rPr>
        <w:t xml:space="preserve"> </w:t>
      </w:r>
      <w:r w:rsidRPr="0094373D">
        <w:rPr>
          <w:rStyle w:val="Emphasis"/>
          <w:sz w:val="22"/>
          <w:szCs w:val="22"/>
        </w:rPr>
        <w:t xml:space="preserve">1: </w:t>
      </w:r>
      <w:r w:rsidR="00F11049" w:rsidRPr="0094373D">
        <w:rPr>
          <w:rStyle w:val="Emphasis"/>
          <w:sz w:val="22"/>
          <w:szCs w:val="22"/>
        </w:rPr>
        <w:t>Investing in the Enabling Environment for Exporting</w:t>
      </w:r>
    </w:p>
    <w:p w14:paraId="6CC76EB2" w14:textId="590BB28F" w:rsidR="00D3224A" w:rsidRPr="00C949A6" w:rsidRDefault="00EE14BE" w:rsidP="003E3DFE">
      <w:pPr>
        <w:pStyle w:val="BodyText"/>
        <w:jc w:val="both"/>
      </w:pPr>
      <w:r w:rsidRPr="00EE14BE">
        <w:t xml:space="preserve"> This component invests in institutional strengthening for export competitiveness, including: (i) establishment and operations of </w:t>
      </w:r>
      <w:r w:rsidR="006C5283">
        <w:t xml:space="preserve">a </w:t>
      </w:r>
      <w:r w:rsidRPr="00EE14BE">
        <w:t>PGG Board to improve federal and provincial policy coordination and build a feedback loop with the private sector; (ii) establishment of a monitoring and evaluation platform for trade</w:t>
      </w:r>
      <w:r w:rsidR="004C33CD">
        <w:t>-</w:t>
      </w:r>
      <w:r w:rsidRPr="00EE14BE">
        <w:t>support</w:t>
      </w:r>
      <w:r w:rsidR="004C33CD">
        <w:t xml:space="preserve"> public</w:t>
      </w:r>
      <w:r w:rsidRPr="00EE14BE">
        <w:t xml:space="preserve"> interventions and monitoring and evaluation and impact evaluations of export-support public interventions; (iii) establishment of a one-stop shop for business licensing and registration in Pakistan, roll-out of an e-payment system for registration and licensing fees, and [design and implementation of] monitoring and communication strategy to ease the implementation of regulatory reform among the business community; and (iv) strengthening of T</w:t>
      </w:r>
      <w:r w:rsidR="009816B9">
        <w:t xml:space="preserve">rade </w:t>
      </w:r>
      <w:r w:rsidRPr="00EE14BE">
        <w:t>P</w:t>
      </w:r>
      <w:r w:rsidR="009816B9">
        <w:t xml:space="preserve">olicy </w:t>
      </w:r>
      <w:r w:rsidRPr="00EE14BE">
        <w:t>W</w:t>
      </w:r>
      <w:r w:rsidR="009816B9">
        <w:t>ing</w:t>
      </w:r>
      <w:r w:rsidRPr="00EE14BE">
        <w:t xml:space="preserve"> and N</w:t>
      </w:r>
      <w:r w:rsidR="009816B9">
        <w:t xml:space="preserve">ational </w:t>
      </w:r>
      <w:r w:rsidRPr="00EE14BE">
        <w:t>T</w:t>
      </w:r>
      <w:r w:rsidR="009816B9">
        <w:t xml:space="preserve">ariff </w:t>
      </w:r>
      <w:r w:rsidRPr="00EE14BE">
        <w:t>C</w:t>
      </w:r>
      <w:r w:rsidR="009816B9">
        <w:t>ommission</w:t>
      </w:r>
      <w:r w:rsidRPr="00EE14BE">
        <w:t xml:space="preserve"> in MOC.</w:t>
      </w:r>
    </w:p>
    <w:p w14:paraId="445913F1" w14:textId="6E891853" w:rsidR="00284AEF" w:rsidRPr="0094373D" w:rsidRDefault="00284AEF" w:rsidP="003E3DFE">
      <w:pPr>
        <w:pStyle w:val="BodyText"/>
        <w:jc w:val="both"/>
        <w:rPr>
          <w:b/>
          <w:iCs/>
          <w:sz w:val="22"/>
          <w:szCs w:val="22"/>
        </w:rPr>
      </w:pPr>
      <w:r w:rsidRPr="0094373D">
        <w:rPr>
          <w:b/>
          <w:iCs/>
          <w:sz w:val="22"/>
          <w:szCs w:val="22"/>
        </w:rPr>
        <w:t xml:space="preserve">Component 2:  </w:t>
      </w:r>
      <w:r w:rsidR="008617FC" w:rsidRPr="0094373D">
        <w:rPr>
          <w:b/>
          <w:iCs/>
          <w:sz w:val="22"/>
          <w:szCs w:val="22"/>
        </w:rPr>
        <w:t xml:space="preserve">Investing in </w:t>
      </w:r>
      <w:r w:rsidR="00E965D5" w:rsidRPr="0094373D">
        <w:rPr>
          <w:b/>
          <w:iCs/>
          <w:sz w:val="22"/>
          <w:szCs w:val="22"/>
        </w:rPr>
        <w:t xml:space="preserve">export </w:t>
      </w:r>
      <w:r w:rsidR="00AB0E4B" w:rsidRPr="0094373D">
        <w:rPr>
          <w:b/>
          <w:iCs/>
          <w:sz w:val="22"/>
          <w:szCs w:val="22"/>
        </w:rPr>
        <w:t>promotion infrastructure</w:t>
      </w:r>
    </w:p>
    <w:p w14:paraId="4FF06650" w14:textId="5A36A54A" w:rsidR="002334B5" w:rsidRDefault="00A07142" w:rsidP="002334B5">
      <w:pPr>
        <w:pStyle w:val="BodyText"/>
        <w:jc w:val="both"/>
        <w:rPr>
          <w:iCs/>
        </w:rPr>
      </w:pPr>
      <w:r w:rsidRPr="00A07142">
        <w:t xml:space="preserve"> </w:t>
      </w:r>
      <w:r w:rsidRPr="00A07142">
        <w:rPr>
          <w:iCs/>
        </w:rPr>
        <w:t>This component invests in provision of support for the export promotion infrastructure, including: (i) carrying out of a country branding campaign, including provision of Trade Fair Grants to firms for participation in virtual or presential trade fairs/exhibitions; (ii) re-vamping of the role of the trade attaches’ network in export promotion to modernize Pakistan’s trade diplomacy; and (iii) design and roll-out of an export intelligence platform, as a one-stop shop for exporters, to connect global buyers with local sellers.</w:t>
      </w:r>
    </w:p>
    <w:p w14:paraId="3768A5EE" w14:textId="77777777" w:rsidR="00D70AC2" w:rsidRDefault="00D710F5" w:rsidP="003E3DFE">
      <w:pPr>
        <w:pStyle w:val="Heading2"/>
        <w:jc w:val="both"/>
        <w:rPr>
          <w:rStyle w:val="normaltextrun"/>
          <w:rFonts w:cs="Calibri"/>
          <w:bCs/>
          <w:shd w:val="clear" w:color="auto" w:fill="FFFFFF"/>
        </w:rPr>
      </w:pPr>
      <w:bookmarkStart w:id="6" w:name="_Toc452826912"/>
      <w:r w:rsidRPr="00D70AC2">
        <w:rPr>
          <w:rStyle w:val="normaltextrun"/>
          <w:rFonts w:cs="Calibri"/>
          <w:bCs/>
          <w:shd w:val="clear" w:color="auto" w:fill="FFFFFF"/>
        </w:rPr>
        <w:t>Project Management, Monitoring and Evaluation</w:t>
      </w:r>
      <w:bookmarkEnd w:id="6"/>
    </w:p>
    <w:p w14:paraId="256FEF6C" w14:textId="60D09476" w:rsidR="001F6FF7" w:rsidRDefault="006B260F" w:rsidP="003E3DFE">
      <w:pPr>
        <w:jc w:val="both"/>
      </w:pPr>
      <w:proofErr w:type="spellStart"/>
      <w:r w:rsidRPr="006B260F">
        <w:t>MoC</w:t>
      </w:r>
      <w:proofErr w:type="spellEnd"/>
      <w:r w:rsidRPr="006B260F">
        <w:t xml:space="preserve">, through the Directorate General of Trade Policy, will be the main IA for the Project and will liaise and coordinate with </w:t>
      </w:r>
      <w:proofErr w:type="spellStart"/>
      <w:r w:rsidRPr="006B260F">
        <w:t>BoI</w:t>
      </w:r>
      <w:proofErr w:type="spellEnd"/>
      <w:r w:rsidRPr="006B260F">
        <w:t xml:space="preserve">, and TDAP in implementing the Project. </w:t>
      </w:r>
      <w:proofErr w:type="spellStart"/>
      <w:r w:rsidRPr="006B260F">
        <w:t>MoC</w:t>
      </w:r>
      <w:proofErr w:type="spellEnd"/>
      <w:r w:rsidRPr="006B260F">
        <w:t xml:space="preserve"> and </w:t>
      </w:r>
      <w:proofErr w:type="spellStart"/>
      <w:r w:rsidRPr="006B260F">
        <w:t>BoI</w:t>
      </w:r>
      <w:proofErr w:type="spellEnd"/>
      <w:r w:rsidRPr="006B260F">
        <w:t xml:space="preserve"> will be responsible for Component 1 in their respective domains, while TDAP and </w:t>
      </w:r>
      <w:proofErr w:type="spellStart"/>
      <w:r w:rsidRPr="006B260F">
        <w:t>MoC</w:t>
      </w:r>
      <w:proofErr w:type="spellEnd"/>
      <w:r w:rsidRPr="006B260F">
        <w:t xml:space="preserve"> will be responsible for Component 2. The implementation agencies will have full fiduciary authority and autonomy over project activities. Each will appoint a project director and will hire procurement and financial management specialists. BOI and TDAP will designate E&amp;S Focal Points to implement Project E&amp;S requirements.</w:t>
      </w:r>
    </w:p>
    <w:p w14:paraId="12362241" w14:textId="449ECFC9" w:rsidR="00590488" w:rsidRDefault="001F6FF7" w:rsidP="003E3DFE">
      <w:pPr>
        <w:jc w:val="both"/>
      </w:pPr>
      <w:r w:rsidRPr="003A5912">
        <w:t>In addition, t</w:t>
      </w:r>
      <w:r w:rsidR="000D3D0F" w:rsidRPr="003A5912">
        <w:t xml:space="preserve">he project will establish a Shared Services Unit (SSU). This SSU will comprised of </w:t>
      </w:r>
      <w:proofErr w:type="spellStart"/>
      <w:proofErr w:type="gramStart"/>
      <w:r w:rsidR="00AA6547" w:rsidRPr="003A5912">
        <w:t>a</w:t>
      </w:r>
      <w:proofErr w:type="spellEnd"/>
      <w:proofErr w:type="gramEnd"/>
      <w:r w:rsidR="00AA6547" w:rsidRPr="003A5912">
        <w:t xml:space="preserve"> Environment</w:t>
      </w:r>
      <w:r w:rsidR="00D37A3A" w:rsidRPr="0094373D">
        <w:t>al</w:t>
      </w:r>
      <w:r w:rsidR="00AA6547" w:rsidRPr="003A5912">
        <w:t xml:space="preserve"> and </w:t>
      </w:r>
      <w:r w:rsidR="000D3D0F" w:rsidRPr="003A5912">
        <w:t xml:space="preserve">Social Safeguard Specialist, </w:t>
      </w:r>
      <w:r w:rsidR="00AA6547" w:rsidRPr="003A5912">
        <w:t xml:space="preserve">a </w:t>
      </w:r>
      <w:r w:rsidR="000D3D0F" w:rsidRPr="003A5912">
        <w:t>Communication Specialist</w:t>
      </w:r>
      <w:r w:rsidR="00AA6547" w:rsidRPr="003A5912">
        <w:t>,</w:t>
      </w:r>
      <w:r w:rsidR="000D3D0F" w:rsidRPr="003A5912">
        <w:t xml:space="preserve"> and M&amp;E specialists to ensure safeguards, communication and M&amp;E compliance within the entire project.</w:t>
      </w:r>
      <w:r w:rsidR="000D3D0F" w:rsidRPr="000D3D0F">
        <w:t xml:space="preserve"> These positions may be filled by technical experts hired from the market or by technical staff deputed by the government.</w:t>
      </w:r>
      <w:r w:rsidR="00113C1C">
        <w:t xml:space="preserve"> Additional consultants may also be hired as the need arises.</w:t>
      </w:r>
      <w:r w:rsidR="00910AA6">
        <w:t xml:space="preserve"> The PMU and SSU will be established within one month of Project approval.</w:t>
      </w:r>
      <w:r w:rsidR="00113C1C">
        <w:t xml:space="preserve"> </w:t>
      </w:r>
    </w:p>
    <w:p w14:paraId="6DE37386" w14:textId="5618DD8C" w:rsidR="000D3D0F" w:rsidRDefault="00612988" w:rsidP="003E3DFE">
      <w:pPr>
        <w:jc w:val="both"/>
      </w:pPr>
      <w:r w:rsidRPr="00612988">
        <w:t xml:space="preserve">A Project Task Force (PTF) led by the Advisor of Commerce, Textiles, Industries and Production will be formed and officially notified by the government for this project. It will have representation from all the government entities involved in the project to </w:t>
      </w:r>
      <w:r w:rsidRPr="00612988">
        <w:lastRenderedPageBreak/>
        <w:t xml:space="preserve">ensure effective and coordinated implementation. The PTF will be responsible for overall project oversight and monitoring implementation progress. The PTF will also facilitate inter agency coordination to ensure that the agencies engaged in the project work in unison towards achieving the project development objective, facilitate resolution of interagency disputes, if any, facilitate the PMUs in securing relevant approvals, and provide overall strategic guidance to the project. The PTF will also serve as the primary platform by way of which the </w:t>
      </w:r>
      <w:r w:rsidR="00CF574F">
        <w:t>PGG Board</w:t>
      </w:r>
      <w:r w:rsidRPr="00612988">
        <w:t xml:space="preserve"> will be kept abreast of project level interventions, developments and impact. </w:t>
      </w:r>
    </w:p>
    <w:p w14:paraId="30FD9CD2" w14:textId="690C8063" w:rsidR="001E6187" w:rsidRDefault="001E6187" w:rsidP="003E3DFE">
      <w:pPr>
        <w:jc w:val="both"/>
      </w:pPr>
      <w:r>
        <w:t xml:space="preserve">The </w:t>
      </w:r>
      <w:r w:rsidR="008F4B65">
        <w:t>MOC</w:t>
      </w:r>
      <w:r>
        <w:t xml:space="preserve"> through the SSU will lead and coordinate program monitoring and evaluation. M&amp;E experts in the SSU will liaise and coordinate with the various implementation agencies for timely collection of data related to project activities, its collation and subsequent analysis. The agencies responsible for the implementation of the respective components and activities will ensure regular collection of data. </w:t>
      </w:r>
      <w:bookmarkStart w:id="7" w:name="_Toc430790355"/>
      <w:bookmarkStart w:id="8" w:name="_Toc436419347"/>
    </w:p>
    <w:p w14:paraId="43EF7D9E" w14:textId="0C75F8A9" w:rsidR="00D710F5" w:rsidRPr="00744EAA" w:rsidRDefault="00D710F5" w:rsidP="003E3DFE">
      <w:pPr>
        <w:pStyle w:val="Heading2"/>
        <w:jc w:val="both"/>
      </w:pPr>
      <w:bookmarkStart w:id="9" w:name="_Toc452826913"/>
      <w:r w:rsidRPr="00744EAA">
        <w:t>Social and Environmental Risks</w:t>
      </w:r>
      <w:bookmarkEnd w:id="7"/>
      <w:bookmarkEnd w:id="8"/>
      <w:bookmarkEnd w:id="9"/>
    </w:p>
    <w:p w14:paraId="5776A592" w14:textId="082F0D62" w:rsidR="00657662" w:rsidRDefault="00427F0F" w:rsidP="003E3DFE">
      <w:pPr>
        <w:pStyle w:val="BodyText"/>
        <w:jc w:val="both"/>
      </w:pPr>
      <w:r w:rsidRPr="008E4A41">
        <w:t>The overall E&amp;S risk of the project has been assessed as “</w:t>
      </w:r>
      <w:r w:rsidR="00811D3A" w:rsidRPr="008E4A41">
        <w:t>Low</w:t>
      </w:r>
      <w:r w:rsidRPr="008E4A41">
        <w:t>” as noted in the Environmental and Social Screening Report</w:t>
      </w:r>
      <w:r w:rsidR="007D7A9B">
        <w:t>.</w:t>
      </w:r>
      <w:r w:rsidR="00942BBC" w:rsidRPr="008E4A41">
        <w:t xml:space="preserve"> </w:t>
      </w:r>
      <w:r w:rsidR="007C7250" w:rsidRPr="0094373D">
        <w:t xml:space="preserve">The Project’s </w:t>
      </w:r>
      <w:r w:rsidR="0038068D" w:rsidRPr="0094373D">
        <w:t xml:space="preserve">risk </w:t>
      </w:r>
      <w:r w:rsidR="00C02C02" w:rsidRPr="0094373D">
        <w:t xml:space="preserve">from a social </w:t>
      </w:r>
      <w:r w:rsidR="005811C7" w:rsidRPr="0094373D">
        <w:t xml:space="preserve">standpoint </w:t>
      </w:r>
      <w:r w:rsidR="0038068D" w:rsidRPr="0094373D">
        <w:t>in relation to its different stakeholders</w:t>
      </w:r>
      <w:r w:rsidR="002855E5" w:rsidRPr="0094373D">
        <w:t xml:space="preserve"> is mainly communications and outreach</w:t>
      </w:r>
      <w:r w:rsidR="005E2B03" w:rsidRPr="0094373D">
        <w:t>, and inclusion</w:t>
      </w:r>
      <w:r w:rsidR="0080658C" w:rsidRPr="0094373D">
        <w:t xml:space="preserve"> of the </w:t>
      </w:r>
      <w:r w:rsidR="00662C18" w:rsidRPr="0094373D">
        <w:t>firms owned by vulnerable groups such as women, minorities</w:t>
      </w:r>
      <w:r w:rsidR="000807EA" w:rsidRPr="0094373D">
        <w:t xml:space="preserve">, and those without </w:t>
      </w:r>
      <w:r w:rsidR="008C73A9">
        <w:t xml:space="preserve">adequate education and </w:t>
      </w:r>
      <w:r w:rsidR="000807EA" w:rsidRPr="0094373D">
        <w:t>computer ski</w:t>
      </w:r>
      <w:r w:rsidR="00C54226" w:rsidRPr="0094373D">
        <w:t>l</w:t>
      </w:r>
      <w:r w:rsidR="000807EA" w:rsidRPr="0094373D">
        <w:t>ls</w:t>
      </w:r>
      <w:r w:rsidR="002855E5" w:rsidRPr="0094373D">
        <w:t>.</w:t>
      </w:r>
      <w:r w:rsidR="00942BBC" w:rsidRPr="008E4A41">
        <w:t xml:space="preserve">  With regard to business development, a concerted effort will be made to reach women owned firms, as well as enterprises run by traditionally marginalized groups such as the differently abled or religious minorities.  In general, the project will attempt to build capacity in a range of </w:t>
      </w:r>
      <w:r w:rsidR="009B44C2" w:rsidRPr="008E4A41">
        <w:t>firms</w:t>
      </w:r>
      <w:r w:rsidR="00942BBC" w:rsidRPr="008E4A41">
        <w:t xml:space="preserve"> who may not typically have exposure to business development services.</w:t>
      </w:r>
    </w:p>
    <w:p w14:paraId="411DEC7F" w14:textId="10210CF2" w:rsidR="00D710F5" w:rsidRDefault="00D710F5" w:rsidP="003E3DFE">
      <w:pPr>
        <w:pStyle w:val="BodyText"/>
        <w:jc w:val="both"/>
      </w:pPr>
      <w:r>
        <w:t xml:space="preserve">The program is expected to have very limited effect on the environment. The only possible environmental implications would be e-waste concerns, which would arise from disposal of old IT equipment. A comprehensive mapping of the equipment and e-waste management plan is being developed for the program under the Environment and Social Screening Report. </w:t>
      </w:r>
    </w:p>
    <w:p w14:paraId="3406A5C5" w14:textId="77777777" w:rsidR="00D710F5" w:rsidRPr="00364155" w:rsidRDefault="00D710F5" w:rsidP="003E3DFE">
      <w:pPr>
        <w:pStyle w:val="Heading2"/>
        <w:jc w:val="both"/>
      </w:pPr>
      <w:bookmarkStart w:id="10" w:name="_Toc430790356"/>
      <w:bookmarkStart w:id="11" w:name="_Toc436419348"/>
      <w:bookmarkStart w:id="12" w:name="_Toc452826914"/>
      <w:r w:rsidRPr="00364155">
        <w:t>Implementation Arrangeme</w:t>
      </w:r>
      <w:r>
        <w:t>n</w:t>
      </w:r>
      <w:r w:rsidRPr="00364155">
        <w:t>t</w:t>
      </w:r>
      <w:r>
        <w:t>s</w:t>
      </w:r>
      <w:bookmarkEnd w:id="10"/>
      <w:bookmarkEnd w:id="11"/>
      <w:bookmarkEnd w:id="12"/>
      <w:r w:rsidRPr="00364155">
        <w:t xml:space="preserve"> </w:t>
      </w:r>
    </w:p>
    <w:p w14:paraId="5CB98CAE" w14:textId="57D63BB9" w:rsidR="003A00F4" w:rsidRDefault="002A0D57" w:rsidP="003E3DFE">
      <w:pPr>
        <w:pStyle w:val="BodyText"/>
        <w:jc w:val="both"/>
      </w:pPr>
      <w:r>
        <w:t xml:space="preserve">As noted above, </w:t>
      </w:r>
      <w:r w:rsidR="008F4B65">
        <w:t>MOC</w:t>
      </w:r>
      <w:r w:rsidR="003A00F4" w:rsidRPr="00FC61B0">
        <w:t>, through the Directorate General of Trade Policy</w:t>
      </w:r>
      <w:r w:rsidR="00290EB8">
        <w:t>,</w:t>
      </w:r>
      <w:r w:rsidR="003A00F4" w:rsidRPr="00FC61B0">
        <w:t xml:space="preserve"> will be the main implementing agency for the project and will liaise and coordinate with </w:t>
      </w:r>
      <w:r w:rsidR="0048726A">
        <w:t>two</w:t>
      </w:r>
      <w:r w:rsidR="0048726A" w:rsidRPr="00FC61B0">
        <w:t xml:space="preserve"> </w:t>
      </w:r>
      <w:r w:rsidR="003A00F4" w:rsidRPr="00FC61B0">
        <w:t xml:space="preserve">other implementation agencies i.e. BOI and </w:t>
      </w:r>
      <w:r w:rsidR="0048726A">
        <w:t>TDAP</w:t>
      </w:r>
      <w:r w:rsidR="0048726A" w:rsidRPr="00FC61B0">
        <w:t xml:space="preserve"> </w:t>
      </w:r>
      <w:r w:rsidR="003A00F4" w:rsidRPr="00FC61B0">
        <w:t xml:space="preserve">in implementing the project. </w:t>
      </w:r>
    </w:p>
    <w:p w14:paraId="74FF6BF7" w14:textId="319C4FE9" w:rsidR="00862259" w:rsidRDefault="00796D06" w:rsidP="003E3DFE">
      <w:pPr>
        <w:pStyle w:val="BodyText"/>
        <w:jc w:val="both"/>
      </w:pPr>
      <w:r w:rsidRPr="00796D06">
        <w:t xml:space="preserve">The project will establish a Shared Services Unit (SSU). This SSU will comprise of </w:t>
      </w:r>
      <w:r>
        <w:t>a</w:t>
      </w:r>
      <w:r w:rsidR="00A521CE">
        <w:t>n</w:t>
      </w:r>
      <w:r>
        <w:t xml:space="preserve"> Environment and </w:t>
      </w:r>
      <w:r w:rsidRPr="00796D06">
        <w:t>Social Safeguard Specialist</w:t>
      </w:r>
      <w:r w:rsidR="00742B49">
        <w:t xml:space="preserve"> (one position)</w:t>
      </w:r>
      <w:r w:rsidRPr="00796D06">
        <w:t xml:space="preserve">, </w:t>
      </w:r>
      <w:r>
        <w:t xml:space="preserve">a </w:t>
      </w:r>
      <w:r w:rsidRPr="00796D06">
        <w:t>Communication</w:t>
      </w:r>
      <w:r w:rsidR="007D7A9B">
        <w:t>s</w:t>
      </w:r>
      <w:r w:rsidRPr="00796D06">
        <w:t xml:space="preserve"> Specialist and M&amp;E specialists to ensure safeguards, communication and M&amp;E compliance within the entire project. These positions may be filled by technical experts hired from the market or by technical staff deputed by the government. The SSU will be housed in the main implementing agency. The main implementing agency will be responsible for compiling all semi-annual and annual reports and will share them with the Bank (financial reports, audits reports, procurement, safeguards and </w:t>
      </w:r>
      <w:r w:rsidRPr="00796D06">
        <w:lastRenderedPageBreak/>
        <w:t>monitoring reports etc</w:t>
      </w:r>
      <w:r w:rsidR="002B48EF">
        <w:t>.</w:t>
      </w:r>
      <w:r w:rsidRPr="00796D06">
        <w:t>). The Operations Manual will describe the lines of reporting between th</w:t>
      </w:r>
      <w:r w:rsidR="002A0D57">
        <w:t>e</w:t>
      </w:r>
      <w:r w:rsidRPr="00796D06">
        <w:t xml:space="preserve"> SSU and the other implementing agencies.</w:t>
      </w:r>
    </w:p>
    <w:p w14:paraId="1DC92CCB" w14:textId="77777777" w:rsidR="00D710F5" w:rsidRDefault="00D710F5" w:rsidP="003E3DFE">
      <w:pPr>
        <w:pStyle w:val="Heading1"/>
        <w:jc w:val="both"/>
      </w:pPr>
      <w:bookmarkStart w:id="13" w:name="_Toc15047501"/>
      <w:bookmarkStart w:id="14" w:name="_Toc430790357"/>
      <w:bookmarkStart w:id="15" w:name="_Toc436419349"/>
      <w:bookmarkStart w:id="16" w:name="_Toc452826915"/>
      <w:bookmarkStart w:id="17" w:name="_Toc17966115"/>
      <w:r w:rsidRPr="002C5F49">
        <w:t>Regulations and Requirements</w:t>
      </w:r>
      <w:bookmarkEnd w:id="13"/>
      <w:bookmarkEnd w:id="14"/>
      <w:bookmarkEnd w:id="15"/>
      <w:bookmarkEnd w:id="16"/>
    </w:p>
    <w:p w14:paraId="49C836A5" w14:textId="77777777" w:rsidR="00D710F5" w:rsidRPr="00544BEE" w:rsidRDefault="00D710F5" w:rsidP="003E3DFE">
      <w:pPr>
        <w:pStyle w:val="BodyText"/>
        <w:jc w:val="both"/>
        <w:rPr>
          <w:rFonts w:eastAsia="Cambria"/>
        </w:rPr>
      </w:pPr>
      <w:bookmarkStart w:id="18" w:name="_Toc430790358"/>
      <w:r w:rsidRPr="00544BEE">
        <w:rPr>
          <w:rFonts w:eastAsia="Cambria"/>
        </w:rPr>
        <w:t xml:space="preserve">This </w:t>
      </w:r>
      <w:r>
        <w:rPr>
          <w:rFonts w:eastAsia="Cambria"/>
        </w:rPr>
        <w:t>section lays out the engagement requirements of the key stakeholders.</w:t>
      </w:r>
      <w:bookmarkEnd w:id="17"/>
      <w:bookmarkEnd w:id="18"/>
    </w:p>
    <w:p w14:paraId="20E53C0C" w14:textId="77777777" w:rsidR="00D710F5" w:rsidRPr="00E04FAA" w:rsidRDefault="00D710F5" w:rsidP="003E3DFE">
      <w:pPr>
        <w:pStyle w:val="Heading2"/>
        <w:jc w:val="both"/>
      </w:pPr>
      <w:bookmarkStart w:id="19" w:name="_Toc17966116"/>
      <w:bookmarkStart w:id="20" w:name="_Toc430790359"/>
      <w:bookmarkStart w:id="21" w:name="_Toc436419350"/>
      <w:bookmarkStart w:id="22" w:name="_Toc452826916"/>
      <w:r w:rsidRPr="00E04FAA">
        <w:t xml:space="preserve">National </w:t>
      </w:r>
      <w:r>
        <w:t>R</w:t>
      </w:r>
      <w:r w:rsidRPr="00E04FAA">
        <w:t>equirements</w:t>
      </w:r>
      <w:bookmarkEnd w:id="19"/>
      <w:bookmarkEnd w:id="20"/>
      <w:bookmarkEnd w:id="21"/>
      <w:bookmarkEnd w:id="22"/>
      <w:r>
        <w:t xml:space="preserve"> </w:t>
      </w:r>
    </w:p>
    <w:p w14:paraId="153D659D" w14:textId="54B26919" w:rsidR="00D710F5" w:rsidRDefault="00D710F5" w:rsidP="003E3DFE">
      <w:pPr>
        <w:pStyle w:val="BodyText"/>
        <w:jc w:val="both"/>
      </w:pPr>
      <w:r>
        <w:t xml:space="preserve">Project implementation agencies are committed to consult with stakeholders prior to undertaking any significant reform effort.  In this regard, the </w:t>
      </w:r>
      <w:r w:rsidR="008F4B65">
        <w:t>MOC</w:t>
      </w:r>
      <w:r>
        <w:t xml:space="preserve"> has been leading consultations with key stakeholders before the finalization of PGG. </w:t>
      </w:r>
    </w:p>
    <w:p w14:paraId="6F6FF5EC" w14:textId="77777777" w:rsidR="00D710F5" w:rsidRPr="00E04FAA" w:rsidRDefault="00D710F5" w:rsidP="003E3DFE">
      <w:pPr>
        <w:pStyle w:val="Heading2"/>
        <w:jc w:val="both"/>
      </w:pPr>
      <w:bookmarkStart w:id="23" w:name="_Toc17966117"/>
      <w:bookmarkStart w:id="24" w:name="_Toc430790360"/>
      <w:bookmarkStart w:id="25" w:name="_Toc436419351"/>
      <w:bookmarkStart w:id="26" w:name="_Toc452826917"/>
      <w:r w:rsidRPr="00E04FAA">
        <w:t xml:space="preserve">World Bank </w:t>
      </w:r>
      <w:r>
        <w:t>R</w:t>
      </w:r>
      <w:r w:rsidRPr="00E04FAA">
        <w:t>equirements</w:t>
      </w:r>
      <w:bookmarkEnd w:id="23"/>
      <w:bookmarkEnd w:id="24"/>
      <w:bookmarkEnd w:id="25"/>
      <w:bookmarkEnd w:id="26"/>
      <w:r>
        <w:t xml:space="preserve"> </w:t>
      </w:r>
    </w:p>
    <w:p w14:paraId="353A6049" w14:textId="77777777" w:rsidR="00D710F5" w:rsidRDefault="00D710F5" w:rsidP="003E3DFE">
      <w:pPr>
        <w:pStyle w:val="BodyText"/>
        <w:jc w:val="both"/>
      </w:pPr>
      <w:r>
        <w:t xml:space="preserve">The World Bank’s Environmental and Social Standard (ESS) 10 deals with stakeholder engagement and information disclosure. The document states that, </w:t>
      </w:r>
      <w:r w:rsidRPr="00662F49">
        <w:rPr>
          <w:i/>
        </w:rPr>
        <w:t>“…ESS recognized the importance of open and transparent engagement between the Borrower and project stakeholders as an essential element of good international practice. Effective stakeholder engagement can improve the environmental and social sustainability of projects, enhance project acceptance, and make a significant contribution to successful project design and implementation</w:t>
      </w:r>
      <w:r w:rsidRPr="007B25C2">
        <w:t>.</w:t>
      </w:r>
      <w:r>
        <w:t>”</w:t>
      </w:r>
    </w:p>
    <w:p w14:paraId="1B8CAC9C" w14:textId="77777777" w:rsidR="00D710F5" w:rsidRPr="00973748" w:rsidRDefault="00D710F5" w:rsidP="003E3DFE">
      <w:pPr>
        <w:pStyle w:val="BodyText"/>
        <w:jc w:val="both"/>
      </w:pPr>
      <w:r>
        <w:t>ESS 10 in the scope of application clearly states that, “</w:t>
      </w:r>
      <w:r w:rsidRPr="00662F49">
        <w:rPr>
          <w:i/>
        </w:rPr>
        <w:t>it applies to all projects supported by the Bank through Investment Project Financing. The Borrower will engage with stakeholders as an integral part of the project’s environmental and social assessment and project design and implementation, as outlined in ESS1</w:t>
      </w:r>
      <w:r w:rsidRPr="00973748">
        <w:t>.</w:t>
      </w:r>
      <w:r>
        <w:t>”</w:t>
      </w:r>
      <w:r w:rsidRPr="00973748">
        <w:t xml:space="preserve"> </w:t>
      </w:r>
    </w:p>
    <w:p w14:paraId="7EC69936" w14:textId="77777777" w:rsidR="00D710F5" w:rsidRDefault="00D710F5" w:rsidP="003E3DFE">
      <w:pPr>
        <w:pStyle w:val="BodyText"/>
        <w:jc w:val="both"/>
      </w:pPr>
      <w:r>
        <w:t xml:space="preserve">The stakeholders in ESS 10 are defined as either those who are affected or likely to be affected by the project, or what the document refers to as “other interested parties.”  Project affected parties are normally those </w:t>
      </w:r>
      <w:proofErr w:type="gramStart"/>
      <w:r>
        <w:t>whose</w:t>
      </w:r>
      <w:proofErr w:type="gramEnd"/>
      <w:r>
        <w:t xml:space="preserve"> environmental, health, security and livelihoods etc. would be directly affected by the project. The “other interested parties” refers to those individuals, groups or organizations with an interest in the project, but who are not directly affected.  A detailed stakeholder analysis follows in Section 4.</w:t>
      </w:r>
    </w:p>
    <w:p w14:paraId="23F0A3D5" w14:textId="77777777" w:rsidR="00D710F5" w:rsidRDefault="00D710F5" w:rsidP="003E3DFE">
      <w:pPr>
        <w:spacing w:after="240"/>
        <w:jc w:val="both"/>
      </w:pPr>
      <w:r>
        <w:t xml:space="preserve">ESS 10 also lays down specific requirements for stakeholder engagement: </w:t>
      </w:r>
    </w:p>
    <w:p w14:paraId="61C9D58E" w14:textId="77777777" w:rsidR="00D710F5" w:rsidRPr="00091BDF" w:rsidRDefault="00D710F5" w:rsidP="003E3DFE">
      <w:pPr>
        <w:numPr>
          <w:ilvl w:val="0"/>
          <w:numId w:val="3"/>
        </w:numPr>
        <w:spacing w:after="240"/>
        <w:contextualSpacing/>
        <w:jc w:val="both"/>
      </w:pPr>
      <w:r w:rsidRPr="00091BDF">
        <w:t>“Borrowers will engage with stakeholders throughout the project life cycle, commencing such engagement as early as possible in the project development process and in a timeframe that enables meaningful consultations with stakeholders on project design. The nature, scope and frequency of stakeholder engagement will be proportionate to the nature and scale of the project and its potential risks and impacts.</w:t>
      </w:r>
    </w:p>
    <w:p w14:paraId="171284C0" w14:textId="77777777" w:rsidR="00D710F5" w:rsidRPr="00091BDF" w:rsidRDefault="00D710F5" w:rsidP="003E3DFE">
      <w:pPr>
        <w:numPr>
          <w:ilvl w:val="0"/>
          <w:numId w:val="3"/>
        </w:numPr>
        <w:spacing w:after="240"/>
        <w:contextualSpacing/>
        <w:jc w:val="both"/>
      </w:pPr>
      <w:r w:rsidRPr="00091BDF">
        <w:t>Borrowers will engage in meaningful consultations with all stakeholders. Borrowers will provide stakeholders with timely, relevant, understandable and accessible information, and consult with them in a culturally appropriate manner, which is free of manipulation, interference, coercion, discrimination and intimidation.</w:t>
      </w:r>
    </w:p>
    <w:p w14:paraId="3C7B7D43" w14:textId="77777777" w:rsidR="00D710F5" w:rsidRPr="00091BDF" w:rsidRDefault="00D710F5" w:rsidP="003E3DFE">
      <w:pPr>
        <w:numPr>
          <w:ilvl w:val="0"/>
          <w:numId w:val="3"/>
        </w:numPr>
        <w:spacing w:after="240"/>
        <w:contextualSpacing/>
        <w:jc w:val="both"/>
      </w:pPr>
      <w:r w:rsidRPr="00091BDF">
        <w:lastRenderedPageBreak/>
        <w:t>The process of stakeholder engagement will involve the following, as set out in further detail in this ESS: (i) stakeholder identification and analysis; (ii) planning how the engagement with stakeholders will take place; (iii) disclosure of information; (iv) consultation with stakeholders; (v) addressing and responding to grievances; and (vi) reporting to stakeholders.</w:t>
      </w:r>
    </w:p>
    <w:p w14:paraId="68814010" w14:textId="77777777" w:rsidR="00D710F5" w:rsidRPr="00091BDF" w:rsidRDefault="00D710F5" w:rsidP="003E3DFE">
      <w:pPr>
        <w:numPr>
          <w:ilvl w:val="0"/>
          <w:numId w:val="3"/>
        </w:numPr>
        <w:spacing w:after="240"/>
        <w:contextualSpacing/>
        <w:jc w:val="both"/>
      </w:pPr>
      <w:r w:rsidRPr="00091BDF">
        <w:t xml:space="preserve">The Borrower will maintain and disclose as part of the environmental and social assessment, a documented record of stakeholder engagement, including a description of the stakeholders consulted, a summary of the feedback received and a brief explanation of how the feedback was taken into account, or the reasons why it was not.” </w:t>
      </w:r>
    </w:p>
    <w:p w14:paraId="4183A604" w14:textId="77777777" w:rsidR="00D710F5" w:rsidRDefault="00D710F5" w:rsidP="003E3DFE">
      <w:pPr>
        <w:spacing w:after="240"/>
        <w:jc w:val="both"/>
      </w:pPr>
    </w:p>
    <w:p w14:paraId="7284B91F" w14:textId="77777777" w:rsidR="00D710F5" w:rsidRPr="000128D6" w:rsidRDefault="00D710F5" w:rsidP="003E3DFE">
      <w:pPr>
        <w:spacing w:after="240"/>
        <w:jc w:val="both"/>
      </w:pPr>
      <w:r w:rsidRPr="000128D6">
        <w:t xml:space="preserve">The Borrower, as laid out under paragraph 10 of ESS10 would start by identifying the different stakeholders, both affected parties and other interested parties. The guidance note to ESS 10 lays down the process which would be used to identify the relevant stakeholders, </w:t>
      </w:r>
      <w:proofErr w:type="gramStart"/>
      <w:r w:rsidRPr="000128D6">
        <w:t>and also</w:t>
      </w:r>
      <w:proofErr w:type="gramEnd"/>
      <w:r w:rsidRPr="000128D6">
        <w:t xml:space="preserve"> advises to conduct preliminary discussions with the representatives of the identified stakeholders. </w:t>
      </w:r>
    </w:p>
    <w:p w14:paraId="7CBE99C0" w14:textId="77777777" w:rsidR="00D710F5" w:rsidRPr="000128D6" w:rsidRDefault="00D710F5" w:rsidP="003E3DFE">
      <w:pPr>
        <w:spacing w:after="240"/>
        <w:jc w:val="both"/>
      </w:pPr>
      <w:r w:rsidRPr="000128D6">
        <w:t>Paragraphs 13 to 18 lay down the main facets of the stakeholder engagement plan. Paragraph 13 states that, “</w:t>
      </w:r>
      <w:r w:rsidRPr="000128D6">
        <w:rPr>
          <w:i/>
        </w:rPr>
        <w:t>Borrower will develop and implement a Stakeholder Engagement Plan (SEP) proportionate to the nature and scale of the project and its potential risks and impacts. A draft of SEP would be disclosed as early as possible, and before the project appraisal, and the Borrower needs to seek the views of stakeholders on the SEP, including on the identification of stakeholders and the proposals for future engagement. If significant changes are made to the SEP, the Borrower has to disclose the updated SEP.</w:t>
      </w:r>
      <w:r w:rsidRPr="000128D6">
        <w:t>”</w:t>
      </w:r>
    </w:p>
    <w:p w14:paraId="7B260098" w14:textId="77777777" w:rsidR="00D710F5" w:rsidRPr="000128D6" w:rsidRDefault="00D710F5" w:rsidP="003E3DFE">
      <w:pPr>
        <w:spacing w:after="240"/>
        <w:jc w:val="both"/>
      </w:pPr>
      <w:r w:rsidRPr="000128D6">
        <w:t>In paragraph 14 the ESS 10 also states that, “</w:t>
      </w:r>
      <w:r w:rsidRPr="000128D6">
        <w:rPr>
          <w:i/>
        </w:rPr>
        <w:t>SEP will describe the timings and methods of engagement with stakeholders, throughout the life-cycle of the project… The SEP will also describe the range and timing of information to be communicated to the project affected parties, and other interested parties</w:t>
      </w:r>
      <w:r w:rsidRPr="000128D6">
        <w:t>.”</w:t>
      </w:r>
    </w:p>
    <w:p w14:paraId="0698DF42" w14:textId="77777777" w:rsidR="00D710F5" w:rsidRPr="000128D6" w:rsidRDefault="00D710F5" w:rsidP="003E3DFE">
      <w:pPr>
        <w:spacing w:after="240"/>
        <w:jc w:val="both"/>
      </w:pPr>
      <w:r w:rsidRPr="000128D6">
        <w:t>Paragraph 16 of ESS 10 states that the Borrower would make sure that there is effective participation of disadvantaged and vulnerable groups, who under normal circumstances would not have access to or be made part of the consultative process.</w:t>
      </w:r>
    </w:p>
    <w:p w14:paraId="36C93870" w14:textId="77777777" w:rsidR="00D710F5" w:rsidRDefault="00D710F5" w:rsidP="003E3DFE">
      <w:pPr>
        <w:pStyle w:val="Heading1"/>
        <w:jc w:val="both"/>
      </w:pPr>
      <w:bookmarkStart w:id="27" w:name="_Toc430790361"/>
      <w:bookmarkStart w:id="28" w:name="_Toc436419352"/>
      <w:bookmarkStart w:id="29" w:name="_Toc452826918"/>
      <w:bookmarkStart w:id="30" w:name="_Toc17966118"/>
      <w:r w:rsidRPr="00F47677">
        <w:t>Summary of Previous Stakeholder Engagement Activities</w:t>
      </w:r>
      <w:bookmarkEnd w:id="27"/>
      <w:bookmarkEnd w:id="28"/>
      <w:bookmarkEnd w:id="29"/>
      <w:r>
        <w:t xml:space="preserve"> </w:t>
      </w:r>
      <w:bookmarkEnd w:id="30"/>
    </w:p>
    <w:p w14:paraId="6086E5B2" w14:textId="5B76BA8C" w:rsidR="00D710F5" w:rsidRPr="00662F49" w:rsidRDefault="00D710F5" w:rsidP="003E3DFE">
      <w:pPr>
        <w:pStyle w:val="BodyText"/>
        <w:jc w:val="both"/>
      </w:pPr>
      <w:r>
        <w:t xml:space="preserve">The </w:t>
      </w:r>
      <w:r w:rsidR="008F4B65">
        <w:t>MOC</w:t>
      </w:r>
      <w:r>
        <w:t xml:space="preserve"> has held consultations with stakeholders on several initiatives in the past. Below is a brief account of these. </w:t>
      </w:r>
    </w:p>
    <w:p w14:paraId="3226C2AB" w14:textId="3CFA4A17" w:rsidR="00D710F5" w:rsidRDefault="00D710F5" w:rsidP="003E3DFE">
      <w:pPr>
        <w:pStyle w:val="BodyText"/>
        <w:jc w:val="both"/>
      </w:pPr>
      <w:r w:rsidRPr="002C66F9">
        <w:rPr>
          <w:i/>
        </w:rPr>
        <w:t>Consultations for STPF</w:t>
      </w:r>
      <w:r>
        <w:rPr>
          <w:i/>
        </w:rPr>
        <w:t xml:space="preserve"> 2019</w:t>
      </w:r>
      <w:r>
        <w:t xml:space="preserve">:  The </w:t>
      </w:r>
      <w:r w:rsidR="008F4B65">
        <w:t>MOC</w:t>
      </w:r>
      <w:r w:rsidR="003B604D">
        <w:t xml:space="preserve"> </w:t>
      </w:r>
      <w:r>
        <w:t xml:space="preserve">conducted consultations to get inputs for the Strategic Trade Policy Framework (STPF) 2019-24 in 2017-18. A consultative exercise was carried out, reaching out to industry representatives, chambers, and industry associations in ten cities of Pakistan. Moreover, proposals were invited from a range of stakeholders including trade bodies, missions, academia, provincial government departments, attached departments, other ministries and retired </w:t>
      </w:r>
      <w:r>
        <w:lastRenderedPageBreak/>
        <w:t xml:space="preserve">Secretaries of Commerce from October 2017 to February 2018.  To this effect, an advertisement was also placed in the newspapers in January 2018. More than 1200 proposals were received and consolidated, some of which were then incorporated in the upcoming trade policy framework. </w:t>
      </w:r>
    </w:p>
    <w:p w14:paraId="1406EE45" w14:textId="68F93815" w:rsidR="00D710F5" w:rsidRDefault="00D710F5" w:rsidP="003E3DFE">
      <w:pPr>
        <w:pStyle w:val="BodyText"/>
        <w:jc w:val="both"/>
      </w:pPr>
      <w:r w:rsidRPr="002C66F9">
        <w:rPr>
          <w:i/>
        </w:rPr>
        <w:t>Buying and Sourcing Houses Symposium</w:t>
      </w:r>
      <w:r>
        <w:rPr>
          <w:i/>
        </w:rPr>
        <w:t xml:space="preserve"> 2018</w:t>
      </w:r>
      <w:r>
        <w:t xml:space="preserve">:  </w:t>
      </w:r>
      <w:r w:rsidRPr="0020472F">
        <w:t>The first Buying and Sourcing Houses Symposium was held in Karachi on 28</w:t>
      </w:r>
      <w:r w:rsidRPr="0020472F">
        <w:rPr>
          <w:vertAlign w:val="superscript"/>
        </w:rPr>
        <w:t>th</w:t>
      </w:r>
      <w:r w:rsidRPr="0020472F">
        <w:t xml:space="preserve"> March 2018. The symposium</w:t>
      </w:r>
      <w:r>
        <w:t xml:space="preserve"> was</w:t>
      </w:r>
      <w:r w:rsidRPr="0020472F">
        <w:t xml:space="preserve"> organized by the </w:t>
      </w:r>
      <w:r w:rsidR="008F4B65">
        <w:t>MOC</w:t>
      </w:r>
      <w:r w:rsidRPr="0020472F">
        <w:t xml:space="preserve"> and </w:t>
      </w:r>
      <w:r>
        <w:t>TDAP. The Symposium</w:t>
      </w:r>
      <w:r w:rsidRPr="0020472F">
        <w:t xml:space="preserve"> was attended b</w:t>
      </w:r>
      <w:r>
        <w:t xml:space="preserve">y representatives of </w:t>
      </w:r>
      <w:proofErr w:type="gramStart"/>
      <w:r>
        <w:t>buying-</w:t>
      </w:r>
      <w:r w:rsidRPr="0020472F">
        <w:t>houses</w:t>
      </w:r>
      <w:proofErr w:type="gramEnd"/>
      <w:r w:rsidRPr="0020472F">
        <w:t xml:space="preserve"> of leading retail chains and international brands based in Pakistan.  The recommendations received in the Symposium will also be made part of the upcoming </w:t>
      </w:r>
      <w:r>
        <w:t>STPF</w:t>
      </w:r>
      <w:r w:rsidRPr="0020472F">
        <w:t>. The participants shared constructive proposals on how to make Pakistan an attractive destination for sourcing by international buyers.</w:t>
      </w:r>
    </w:p>
    <w:p w14:paraId="68EF7FDE" w14:textId="3BE974C4" w:rsidR="00D710F5" w:rsidRDefault="00D710F5" w:rsidP="003E3DFE">
      <w:pPr>
        <w:pStyle w:val="BodyText"/>
        <w:jc w:val="both"/>
      </w:pPr>
      <w:r w:rsidRPr="008329A8">
        <w:rPr>
          <w:i/>
        </w:rPr>
        <w:t>National Tariff Policy</w:t>
      </w:r>
      <w:r>
        <w:rPr>
          <w:i/>
        </w:rPr>
        <w:t xml:space="preserve"> 2018</w:t>
      </w:r>
      <w:r>
        <w:t xml:space="preserve">:  </w:t>
      </w:r>
      <w:r w:rsidR="008F4B65">
        <w:t>MOC</w:t>
      </w:r>
      <w:r>
        <w:t xml:space="preserve"> and NTC also</w:t>
      </w:r>
      <w:r w:rsidRPr="0020472F">
        <w:t xml:space="preserve"> initiated consultations for </w:t>
      </w:r>
      <w:r>
        <w:t>a t</w:t>
      </w:r>
      <w:r w:rsidRPr="0020472F">
        <w:t xml:space="preserve">ariff rationalization exercise to be incorporated in the first National Tariff Policy. The objective of the policy is to simplify </w:t>
      </w:r>
      <w:r>
        <w:t xml:space="preserve">the </w:t>
      </w:r>
      <w:r w:rsidRPr="0020472F">
        <w:t>tariff regime by removing anomalies, reducing high tariffs on raw materials and intermediate inputs</w:t>
      </w:r>
      <w:r>
        <w:t>,</w:t>
      </w:r>
      <w:r w:rsidRPr="0020472F">
        <w:t xml:space="preserve"> and addressing anti-export bias due to high protection of inefficient industries.</w:t>
      </w:r>
      <w:r>
        <w:t xml:space="preserve"> </w:t>
      </w:r>
      <w:r w:rsidRPr="0020472F">
        <w:t xml:space="preserve">In pursuance of Rules of Business, 1973, which assigns Tariff (Protection) policy and its implementation to </w:t>
      </w:r>
      <w:r>
        <w:t xml:space="preserve">the </w:t>
      </w:r>
      <w:r w:rsidRPr="0020472F">
        <w:t xml:space="preserve">Commerce Division, </w:t>
      </w:r>
      <w:r>
        <w:t>a consultative</w:t>
      </w:r>
      <w:r w:rsidRPr="0020472F">
        <w:t xml:space="preserve"> exercise was undertaken </w:t>
      </w:r>
      <w:r>
        <w:t>in April</w:t>
      </w:r>
      <w:r w:rsidRPr="0020472F">
        <w:t xml:space="preserve"> 2018 in Rawalpindi to develop the first ever National Tariff Policy with an aim to make the tariff structure </w:t>
      </w:r>
      <w:r>
        <w:t xml:space="preserve">truly </w:t>
      </w:r>
      <w:r w:rsidRPr="0020472F">
        <w:t>reflect</w:t>
      </w:r>
      <w:r>
        <w:t>ive of</w:t>
      </w:r>
      <w:r w:rsidRPr="0020472F">
        <w:t xml:space="preserve"> trade policy priorities, improve competitiveness through duty-free access to imported inputs, rationalize the tariff structure for enhancing efficiencies</w:t>
      </w:r>
      <w:r>
        <w:t>,</w:t>
      </w:r>
      <w:r w:rsidRPr="0020472F">
        <w:t xml:space="preserve"> and reduce the relative “disincentive” for the exporting activities. </w:t>
      </w:r>
    </w:p>
    <w:p w14:paraId="47094755" w14:textId="063155B4" w:rsidR="00D710F5" w:rsidRDefault="00D710F5" w:rsidP="003E3DFE">
      <w:pPr>
        <w:spacing w:after="240"/>
        <w:jc w:val="both"/>
      </w:pPr>
      <w:r w:rsidRPr="008329A8">
        <w:rPr>
          <w:i/>
        </w:rPr>
        <w:t>STPF 2015</w:t>
      </w:r>
      <w:r>
        <w:t xml:space="preserve">:  During the formulation of the Strategic Trade Policy Framework (STPF) 2015-18, a comprehensive stakeholder exercise was undertaken which lasted more than a year and was carried out by the </w:t>
      </w:r>
      <w:r w:rsidR="008F4B65">
        <w:t>MOC</w:t>
      </w:r>
      <w:r>
        <w:t>.  Proposals and feedback were sought from various chambers of commerce, universities, trade associations, Pakistani missions abroad and government departments. A total of 837 consultations were carried out, which were finalized in a day-long Advisory Council Meeting chaired by the Minister.  The summary of proposals received is given in the table below.</w:t>
      </w:r>
    </w:p>
    <w:p w14:paraId="4A025FFF" w14:textId="77777777" w:rsidR="00D710F5" w:rsidRDefault="00D710F5" w:rsidP="00D710F5">
      <w:pPr>
        <w:pStyle w:val="TableTitle"/>
      </w:pPr>
      <w:r>
        <w:t>Table 3.1:  Proposals Submitted by Stakeholders for STPF 2015-18</w:t>
      </w:r>
    </w:p>
    <w:tbl>
      <w:tblPr>
        <w:tblW w:w="0" w:type="auto"/>
        <w:jc w:val="center"/>
        <w:tblBorders>
          <w:top w:val="single" w:sz="8" w:space="0" w:color="auto"/>
          <w:bottom w:val="single" w:sz="8" w:space="0" w:color="auto"/>
          <w:insideH w:val="dotted" w:sz="8" w:space="0" w:color="auto"/>
        </w:tblBorders>
        <w:tblCellMar>
          <w:left w:w="72" w:type="dxa"/>
          <w:right w:w="72" w:type="dxa"/>
        </w:tblCellMar>
        <w:tblLook w:val="04A0" w:firstRow="1" w:lastRow="0" w:firstColumn="1" w:lastColumn="0" w:noHBand="0" w:noVBand="1"/>
      </w:tblPr>
      <w:tblGrid>
        <w:gridCol w:w="4358"/>
        <w:gridCol w:w="4282"/>
      </w:tblGrid>
      <w:tr w:rsidR="00D710F5" w14:paraId="035DAF89" w14:textId="77777777" w:rsidTr="0095284D">
        <w:trPr>
          <w:jc w:val="center"/>
        </w:trPr>
        <w:tc>
          <w:tcPr>
            <w:tcW w:w="4428" w:type="dxa"/>
            <w:shd w:val="clear" w:color="auto" w:fill="auto"/>
          </w:tcPr>
          <w:p w14:paraId="5829847D" w14:textId="77777777" w:rsidR="00D710F5" w:rsidRPr="00141E01" w:rsidRDefault="00D710F5" w:rsidP="0095284D">
            <w:pPr>
              <w:pStyle w:val="TableHead"/>
              <w:suppressAutoHyphens/>
              <w:rPr>
                <w:szCs w:val="18"/>
              </w:rPr>
            </w:pPr>
            <w:r w:rsidRPr="00141E01">
              <w:rPr>
                <w:szCs w:val="18"/>
              </w:rPr>
              <w:t>Organization</w:t>
            </w:r>
          </w:p>
        </w:tc>
        <w:tc>
          <w:tcPr>
            <w:tcW w:w="4428" w:type="dxa"/>
            <w:shd w:val="clear" w:color="auto" w:fill="auto"/>
          </w:tcPr>
          <w:p w14:paraId="4BCC9ADB" w14:textId="77777777" w:rsidR="00D710F5" w:rsidRPr="00141E01" w:rsidRDefault="00D710F5" w:rsidP="0095284D">
            <w:pPr>
              <w:pStyle w:val="TableHead"/>
              <w:suppressAutoHyphens/>
              <w:rPr>
                <w:szCs w:val="18"/>
              </w:rPr>
            </w:pPr>
            <w:r w:rsidRPr="00141E01">
              <w:rPr>
                <w:szCs w:val="18"/>
              </w:rPr>
              <w:t>No. of Proposals</w:t>
            </w:r>
          </w:p>
        </w:tc>
      </w:tr>
      <w:tr w:rsidR="00D710F5" w14:paraId="2B2ECFAA" w14:textId="77777777" w:rsidTr="0095284D">
        <w:trPr>
          <w:jc w:val="center"/>
        </w:trPr>
        <w:tc>
          <w:tcPr>
            <w:tcW w:w="4428" w:type="dxa"/>
            <w:shd w:val="clear" w:color="auto" w:fill="auto"/>
          </w:tcPr>
          <w:p w14:paraId="3C23C46E" w14:textId="77777777" w:rsidR="00D710F5" w:rsidRPr="00141E01" w:rsidRDefault="00D710F5" w:rsidP="0095284D">
            <w:pPr>
              <w:pStyle w:val="TableEntry"/>
              <w:suppressAutoHyphens/>
              <w:rPr>
                <w:szCs w:val="18"/>
              </w:rPr>
            </w:pPr>
            <w:r w:rsidRPr="00141E01">
              <w:rPr>
                <w:szCs w:val="18"/>
              </w:rPr>
              <w:t xml:space="preserve">Federation of Pakistan Chambers of Commerce and Industry. </w:t>
            </w:r>
          </w:p>
        </w:tc>
        <w:tc>
          <w:tcPr>
            <w:tcW w:w="4428" w:type="dxa"/>
            <w:shd w:val="clear" w:color="auto" w:fill="auto"/>
          </w:tcPr>
          <w:p w14:paraId="43338980" w14:textId="77777777" w:rsidR="00D710F5" w:rsidRPr="00141E01" w:rsidRDefault="00D710F5" w:rsidP="0095284D">
            <w:pPr>
              <w:pStyle w:val="TableEntry"/>
              <w:suppressAutoHyphens/>
              <w:jc w:val="center"/>
              <w:rPr>
                <w:szCs w:val="18"/>
              </w:rPr>
            </w:pPr>
            <w:r w:rsidRPr="00141E01">
              <w:rPr>
                <w:szCs w:val="18"/>
              </w:rPr>
              <w:t>50</w:t>
            </w:r>
          </w:p>
        </w:tc>
      </w:tr>
      <w:tr w:rsidR="00D710F5" w14:paraId="7775EC95" w14:textId="77777777" w:rsidTr="0095284D">
        <w:trPr>
          <w:jc w:val="center"/>
        </w:trPr>
        <w:tc>
          <w:tcPr>
            <w:tcW w:w="4428" w:type="dxa"/>
            <w:shd w:val="clear" w:color="auto" w:fill="auto"/>
          </w:tcPr>
          <w:p w14:paraId="3DE17045" w14:textId="77777777" w:rsidR="00D710F5" w:rsidRPr="00141E01" w:rsidRDefault="00D710F5" w:rsidP="0095284D">
            <w:pPr>
              <w:pStyle w:val="TableEntry"/>
              <w:suppressAutoHyphens/>
              <w:rPr>
                <w:szCs w:val="18"/>
              </w:rPr>
            </w:pPr>
            <w:r w:rsidRPr="00141E01">
              <w:rPr>
                <w:szCs w:val="18"/>
              </w:rPr>
              <w:t>Chambers of Commerce and Industry</w:t>
            </w:r>
          </w:p>
        </w:tc>
        <w:tc>
          <w:tcPr>
            <w:tcW w:w="4428" w:type="dxa"/>
            <w:shd w:val="clear" w:color="auto" w:fill="auto"/>
          </w:tcPr>
          <w:p w14:paraId="0C9CD3CC" w14:textId="77777777" w:rsidR="00D710F5" w:rsidRPr="00141E01" w:rsidRDefault="00D710F5" w:rsidP="0095284D">
            <w:pPr>
              <w:pStyle w:val="TableEntry"/>
              <w:suppressAutoHyphens/>
              <w:jc w:val="center"/>
              <w:rPr>
                <w:szCs w:val="18"/>
              </w:rPr>
            </w:pPr>
            <w:r w:rsidRPr="00141E01">
              <w:rPr>
                <w:szCs w:val="18"/>
              </w:rPr>
              <w:t>110</w:t>
            </w:r>
          </w:p>
        </w:tc>
      </w:tr>
      <w:tr w:rsidR="00D710F5" w14:paraId="53F7CA46" w14:textId="77777777" w:rsidTr="0095284D">
        <w:trPr>
          <w:jc w:val="center"/>
        </w:trPr>
        <w:tc>
          <w:tcPr>
            <w:tcW w:w="4428" w:type="dxa"/>
            <w:shd w:val="clear" w:color="auto" w:fill="auto"/>
          </w:tcPr>
          <w:p w14:paraId="0202082B" w14:textId="77777777" w:rsidR="00D710F5" w:rsidRPr="00141E01" w:rsidRDefault="00D710F5" w:rsidP="0095284D">
            <w:pPr>
              <w:pStyle w:val="TableEntry"/>
              <w:suppressAutoHyphens/>
              <w:rPr>
                <w:szCs w:val="18"/>
              </w:rPr>
            </w:pPr>
            <w:r w:rsidRPr="00141E01">
              <w:rPr>
                <w:szCs w:val="18"/>
              </w:rPr>
              <w:t>Trade Associations</w:t>
            </w:r>
          </w:p>
        </w:tc>
        <w:tc>
          <w:tcPr>
            <w:tcW w:w="4428" w:type="dxa"/>
            <w:shd w:val="clear" w:color="auto" w:fill="auto"/>
          </w:tcPr>
          <w:p w14:paraId="23000CCD" w14:textId="77777777" w:rsidR="00D710F5" w:rsidRPr="00141E01" w:rsidRDefault="00D710F5" w:rsidP="0095284D">
            <w:pPr>
              <w:pStyle w:val="TableEntry"/>
              <w:suppressAutoHyphens/>
              <w:jc w:val="center"/>
              <w:rPr>
                <w:szCs w:val="18"/>
              </w:rPr>
            </w:pPr>
            <w:r w:rsidRPr="00141E01">
              <w:rPr>
                <w:szCs w:val="18"/>
              </w:rPr>
              <w:t>160</w:t>
            </w:r>
          </w:p>
        </w:tc>
      </w:tr>
      <w:tr w:rsidR="00D710F5" w14:paraId="6431AE10" w14:textId="77777777" w:rsidTr="0095284D">
        <w:trPr>
          <w:jc w:val="center"/>
        </w:trPr>
        <w:tc>
          <w:tcPr>
            <w:tcW w:w="4428" w:type="dxa"/>
            <w:shd w:val="clear" w:color="auto" w:fill="auto"/>
          </w:tcPr>
          <w:p w14:paraId="6417B9F1" w14:textId="77777777" w:rsidR="00D710F5" w:rsidRPr="00141E01" w:rsidRDefault="00D710F5" w:rsidP="0095284D">
            <w:pPr>
              <w:pStyle w:val="TableEntry"/>
              <w:suppressAutoHyphens/>
              <w:rPr>
                <w:szCs w:val="18"/>
              </w:rPr>
            </w:pPr>
            <w:r w:rsidRPr="00141E01">
              <w:rPr>
                <w:szCs w:val="18"/>
              </w:rPr>
              <w:t>Private Sector</w:t>
            </w:r>
          </w:p>
        </w:tc>
        <w:tc>
          <w:tcPr>
            <w:tcW w:w="4428" w:type="dxa"/>
            <w:shd w:val="clear" w:color="auto" w:fill="auto"/>
          </w:tcPr>
          <w:p w14:paraId="7D453C92" w14:textId="77777777" w:rsidR="00D710F5" w:rsidRPr="00141E01" w:rsidRDefault="00D710F5" w:rsidP="0095284D">
            <w:pPr>
              <w:pStyle w:val="TableEntry"/>
              <w:suppressAutoHyphens/>
              <w:jc w:val="center"/>
              <w:rPr>
                <w:szCs w:val="18"/>
              </w:rPr>
            </w:pPr>
            <w:r w:rsidRPr="00141E01">
              <w:rPr>
                <w:szCs w:val="18"/>
              </w:rPr>
              <w:t>50</w:t>
            </w:r>
          </w:p>
        </w:tc>
      </w:tr>
      <w:tr w:rsidR="00D710F5" w14:paraId="4D6C53D3" w14:textId="77777777" w:rsidTr="0095284D">
        <w:trPr>
          <w:jc w:val="center"/>
        </w:trPr>
        <w:tc>
          <w:tcPr>
            <w:tcW w:w="4428" w:type="dxa"/>
            <w:shd w:val="clear" w:color="auto" w:fill="auto"/>
          </w:tcPr>
          <w:p w14:paraId="60EF93EC" w14:textId="77777777" w:rsidR="00D710F5" w:rsidRPr="00141E01" w:rsidRDefault="00D710F5" w:rsidP="0095284D">
            <w:pPr>
              <w:pStyle w:val="TableEntry"/>
              <w:suppressAutoHyphens/>
              <w:rPr>
                <w:szCs w:val="18"/>
              </w:rPr>
            </w:pPr>
            <w:r w:rsidRPr="00141E01">
              <w:rPr>
                <w:szCs w:val="18"/>
              </w:rPr>
              <w:t>Pakistan’s Missions Abroad</w:t>
            </w:r>
          </w:p>
        </w:tc>
        <w:tc>
          <w:tcPr>
            <w:tcW w:w="4428" w:type="dxa"/>
            <w:shd w:val="clear" w:color="auto" w:fill="auto"/>
          </w:tcPr>
          <w:p w14:paraId="620AA517" w14:textId="77777777" w:rsidR="00D710F5" w:rsidRPr="00141E01" w:rsidRDefault="00D710F5" w:rsidP="0095284D">
            <w:pPr>
              <w:pStyle w:val="TableEntry"/>
              <w:suppressAutoHyphens/>
              <w:jc w:val="center"/>
              <w:rPr>
                <w:szCs w:val="18"/>
              </w:rPr>
            </w:pPr>
            <w:r w:rsidRPr="00141E01">
              <w:rPr>
                <w:szCs w:val="18"/>
              </w:rPr>
              <w:t>240</w:t>
            </w:r>
          </w:p>
        </w:tc>
      </w:tr>
      <w:tr w:rsidR="00D710F5" w14:paraId="15561AD1" w14:textId="77777777" w:rsidTr="0095284D">
        <w:trPr>
          <w:jc w:val="center"/>
        </w:trPr>
        <w:tc>
          <w:tcPr>
            <w:tcW w:w="4428" w:type="dxa"/>
            <w:shd w:val="clear" w:color="auto" w:fill="auto"/>
          </w:tcPr>
          <w:p w14:paraId="4FD891C7" w14:textId="77777777" w:rsidR="00D710F5" w:rsidRPr="00141E01" w:rsidRDefault="00D710F5" w:rsidP="0095284D">
            <w:pPr>
              <w:pStyle w:val="TableEntry"/>
              <w:suppressAutoHyphens/>
              <w:rPr>
                <w:szCs w:val="18"/>
              </w:rPr>
            </w:pPr>
            <w:r w:rsidRPr="00141E01">
              <w:rPr>
                <w:szCs w:val="18"/>
              </w:rPr>
              <w:t>Ministries, Federal Departments and Provincial Government Departments</w:t>
            </w:r>
          </w:p>
        </w:tc>
        <w:tc>
          <w:tcPr>
            <w:tcW w:w="4428" w:type="dxa"/>
            <w:shd w:val="clear" w:color="auto" w:fill="auto"/>
          </w:tcPr>
          <w:p w14:paraId="425D6E1D" w14:textId="77777777" w:rsidR="00D710F5" w:rsidRPr="00141E01" w:rsidRDefault="00D710F5" w:rsidP="0095284D">
            <w:pPr>
              <w:pStyle w:val="TableEntry"/>
              <w:suppressAutoHyphens/>
              <w:jc w:val="center"/>
              <w:rPr>
                <w:szCs w:val="18"/>
              </w:rPr>
            </w:pPr>
            <w:r w:rsidRPr="00141E01">
              <w:rPr>
                <w:szCs w:val="18"/>
              </w:rPr>
              <w:t>200</w:t>
            </w:r>
          </w:p>
        </w:tc>
      </w:tr>
      <w:tr w:rsidR="00D710F5" w14:paraId="029250C7" w14:textId="77777777" w:rsidTr="0095284D">
        <w:trPr>
          <w:jc w:val="center"/>
        </w:trPr>
        <w:tc>
          <w:tcPr>
            <w:tcW w:w="4428" w:type="dxa"/>
            <w:shd w:val="clear" w:color="auto" w:fill="auto"/>
          </w:tcPr>
          <w:p w14:paraId="234F73F5" w14:textId="77777777" w:rsidR="00D710F5" w:rsidRPr="00141E01" w:rsidRDefault="00D710F5" w:rsidP="0095284D">
            <w:pPr>
              <w:pStyle w:val="TableEntry"/>
              <w:suppressAutoHyphens/>
              <w:rPr>
                <w:szCs w:val="18"/>
              </w:rPr>
            </w:pPr>
            <w:r w:rsidRPr="00141E01">
              <w:rPr>
                <w:szCs w:val="18"/>
              </w:rPr>
              <w:t>Universities/Academia/Research Organizations</w:t>
            </w:r>
          </w:p>
        </w:tc>
        <w:tc>
          <w:tcPr>
            <w:tcW w:w="4428" w:type="dxa"/>
            <w:shd w:val="clear" w:color="auto" w:fill="auto"/>
          </w:tcPr>
          <w:p w14:paraId="3A20420A" w14:textId="77777777" w:rsidR="00D710F5" w:rsidRPr="00141E01" w:rsidRDefault="00D710F5" w:rsidP="0095284D">
            <w:pPr>
              <w:pStyle w:val="TableEntry"/>
              <w:suppressAutoHyphens/>
              <w:jc w:val="center"/>
              <w:rPr>
                <w:szCs w:val="18"/>
              </w:rPr>
            </w:pPr>
            <w:r w:rsidRPr="00141E01">
              <w:rPr>
                <w:szCs w:val="18"/>
              </w:rPr>
              <w:t>27</w:t>
            </w:r>
          </w:p>
        </w:tc>
      </w:tr>
    </w:tbl>
    <w:p w14:paraId="42319F49" w14:textId="77777777" w:rsidR="00D710F5" w:rsidRPr="0012639A" w:rsidRDefault="00D710F5" w:rsidP="00D710F5">
      <w:pPr>
        <w:pStyle w:val="TableNote"/>
      </w:pPr>
      <w:r w:rsidRPr="0012639A">
        <w:lastRenderedPageBreak/>
        <w:t>Source: STPF 2015-2018</w:t>
      </w:r>
      <w:r>
        <w:t>.</w:t>
      </w:r>
      <w:r>
        <w:rPr>
          <w:rStyle w:val="FootnoteReference"/>
        </w:rPr>
        <w:footnoteReference w:id="2"/>
      </w:r>
    </w:p>
    <w:p w14:paraId="04B887D2" w14:textId="77777777" w:rsidR="00D710F5" w:rsidRDefault="00D710F5" w:rsidP="00D710F5">
      <w:pPr>
        <w:pStyle w:val="BodyText"/>
      </w:pPr>
      <w:r>
        <w:t>The table below summarizes the key information on previous stakeholder engagement.</w:t>
      </w:r>
    </w:p>
    <w:p w14:paraId="363F34AB" w14:textId="77777777" w:rsidR="00D710F5" w:rsidRPr="008D672F" w:rsidRDefault="00D710F5" w:rsidP="00D710F5">
      <w:pPr>
        <w:pStyle w:val="BodyText"/>
      </w:pPr>
    </w:p>
    <w:p w14:paraId="31D4527F" w14:textId="77777777" w:rsidR="00D710F5" w:rsidRPr="00B00809" w:rsidRDefault="00D710F5" w:rsidP="00D710F5">
      <w:pPr>
        <w:pStyle w:val="TableTitle"/>
      </w:pPr>
      <w:r>
        <w:t xml:space="preserve">Table 3.2 </w:t>
      </w:r>
      <w:r w:rsidRPr="00B00809">
        <w:t>Previous Consultations and Engagement with Project Stakeholders</w:t>
      </w:r>
    </w:p>
    <w:tbl>
      <w:tblPr>
        <w:tblW w:w="0" w:type="auto"/>
        <w:jc w:val="center"/>
        <w:tblBorders>
          <w:top w:val="single" w:sz="8" w:space="0" w:color="auto"/>
          <w:bottom w:val="single" w:sz="8" w:space="0" w:color="auto"/>
          <w:insideH w:val="dotted" w:sz="8" w:space="0" w:color="auto"/>
        </w:tblBorders>
        <w:tblCellMar>
          <w:left w:w="72" w:type="dxa"/>
          <w:right w:w="72" w:type="dxa"/>
        </w:tblCellMar>
        <w:tblLook w:val="04A0" w:firstRow="1" w:lastRow="0" w:firstColumn="1" w:lastColumn="0" w:noHBand="0" w:noVBand="1"/>
      </w:tblPr>
      <w:tblGrid>
        <w:gridCol w:w="2030"/>
        <w:gridCol w:w="1058"/>
        <w:gridCol w:w="1659"/>
        <w:gridCol w:w="3893"/>
      </w:tblGrid>
      <w:tr w:rsidR="00D710F5" w14:paraId="020D9D11" w14:textId="77777777" w:rsidTr="0095284D">
        <w:trPr>
          <w:tblHeader/>
          <w:jc w:val="center"/>
        </w:trPr>
        <w:tc>
          <w:tcPr>
            <w:tcW w:w="2155" w:type="dxa"/>
            <w:shd w:val="clear" w:color="auto" w:fill="auto"/>
          </w:tcPr>
          <w:p w14:paraId="396DABD4" w14:textId="77777777" w:rsidR="00D710F5" w:rsidRPr="00141E01" w:rsidRDefault="00D710F5" w:rsidP="0095284D">
            <w:pPr>
              <w:pStyle w:val="TableHead"/>
              <w:suppressAutoHyphens/>
              <w:rPr>
                <w:szCs w:val="18"/>
              </w:rPr>
            </w:pPr>
            <w:r w:rsidRPr="00141E01">
              <w:rPr>
                <w:szCs w:val="18"/>
              </w:rPr>
              <w:t>Place</w:t>
            </w:r>
          </w:p>
        </w:tc>
        <w:tc>
          <w:tcPr>
            <w:tcW w:w="1080" w:type="dxa"/>
            <w:shd w:val="clear" w:color="auto" w:fill="auto"/>
          </w:tcPr>
          <w:p w14:paraId="3F65A7C0" w14:textId="77777777" w:rsidR="00D710F5" w:rsidRPr="00141E01" w:rsidRDefault="00D710F5" w:rsidP="0095284D">
            <w:pPr>
              <w:pStyle w:val="TableHead"/>
              <w:suppressAutoHyphens/>
              <w:rPr>
                <w:szCs w:val="18"/>
              </w:rPr>
            </w:pPr>
            <w:r w:rsidRPr="00141E01">
              <w:rPr>
                <w:szCs w:val="18"/>
              </w:rPr>
              <w:t>Date</w:t>
            </w:r>
          </w:p>
        </w:tc>
        <w:tc>
          <w:tcPr>
            <w:tcW w:w="1710" w:type="dxa"/>
            <w:shd w:val="clear" w:color="auto" w:fill="auto"/>
          </w:tcPr>
          <w:p w14:paraId="39E15262" w14:textId="77777777" w:rsidR="00D710F5" w:rsidRPr="00141E01" w:rsidRDefault="00D710F5" w:rsidP="0095284D">
            <w:pPr>
              <w:pStyle w:val="TableHead"/>
              <w:suppressAutoHyphens/>
              <w:rPr>
                <w:szCs w:val="18"/>
              </w:rPr>
            </w:pPr>
            <w:r w:rsidRPr="00141E01">
              <w:rPr>
                <w:szCs w:val="18"/>
              </w:rPr>
              <w:t>Participants</w:t>
            </w:r>
          </w:p>
        </w:tc>
        <w:tc>
          <w:tcPr>
            <w:tcW w:w="4405" w:type="dxa"/>
            <w:shd w:val="clear" w:color="auto" w:fill="auto"/>
          </w:tcPr>
          <w:p w14:paraId="14224715" w14:textId="77777777" w:rsidR="00D710F5" w:rsidRPr="00141E01" w:rsidRDefault="00D710F5" w:rsidP="0095284D">
            <w:pPr>
              <w:pStyle w:val="TableHead"/>
              <w:suppressAutoHyphens/>
              <w:rPr>
                <w:szCs w:val="18"/>
              </w:rPr>
            </w:pPr>
            <w:r w:rsidRPr="00141E01">
              <w:rPr>
                <w:szCs w:val="18"/>
              </w:rPr>
              <w:t>Key issues discussed</w:t>
            </w:r>
          </w:p>
        </w:tc>
      </w:tr>
      <w:tr w:rsidR="00D710F5" w14:paraId="6BB10880" w14:textId="77777777" w:rsidTr="0095284D">
        <w:trPr>
          <w:jc w:val="center"/>
        </w:trPr>
        <w:tc>
          <w:tcPr>
            <w:tcW w:w="2155" w:type="dxa"/>
            <w:shd w:val="clear" w:color="auto" w:fill="auto"/>
          </w:tcPr>
          <w:p w14:paraId="5F4F3DA3" w14:textId="77777777" w:rsidR="00D710F5" w:rsidRPr="00141E01" w:rsidRDefault="00D710F5" w:rsidP="0095284D">
            <w:pPr>
              <w:pStyle w:val="TableEntry"/>
              <w:suppressAutoHyphens/>
              <w:rPr>
                <w:sz w:val="20"/>
              </w:rPr>
            </w:pPr>
            <w:r w:rsidRPr="00141E01">
              <w:rPr>
                <w:sz w:val="20"/>
              </w:rPr>
              <w:t xml:space="preserve">Karachi </w:t>
            </w:r>
          </w:p>
        </w:tc>
        <w:tc>
          <w:tcPr>
            <w:tcW w:w="1080" w:type="dxa"/>
            <w:shd w:val="clear" w:color="auto" w:fill="auto"/>
          </w:tcPr>
          <w:p w14:paraId="7DFC7359" w14:textId="77777777" w:rsidR="00D710F5" w:rsidRPr="00141E01" w:rsidRDefault="00D710F5" w:rsidP="0095284D">
            <w:pPr>
              <w:pStyle w:val="TableEntry"/>
              <w:suppressAutoHyphens/>
              <w:rPr>
                <w:sz w:val="20"/>
              </w:rPr>
            </w:pPr>
            <w:r w:rsidRPr="00141E01">
              <w:rPr>
                <w:sz w:val="20"/>
              </w:rPr>
              <w:t>March 28, 2018</w:t>
            </w:r>
          </w:p>
        </w:tc>
        <w:tc>
          <w:tcPr>
            <w:tcW w:w="1710" w:type="dxa"/>
            <w:shd w:val="clear" w:color="auto" w:fill="auto"/>
          </w:tcPr>
          <w:p w14:paraId="58E22C12" w14:textId="77777777" w:rsidR="00D710F5" w:rsidRPr="00141E01" w:rsidRDefault="00D710F5" w:rsidP="0095284D">
            <w:pPr>
              <w:pStyle w:val="TableEntry"/>
              <w:suppressAutoHyphens/>
              <w:rPr>
                <w:sz w:val="20"/>
              </w:rPr>
            </w:pPr>
            <w:proofErr w:type="gramStart"/>
            <w:r w:rsidRPr="00141E01">
              <w:rPr>
                <w:sz w:val="20"/>
              </w:rPr>
              <w:t>Buying-houses</w:t>
            </w:r>
            <w:proofErr w:type="gramEnd"/>
            <w:r w:rsidRPr="00141E01">
              <w:rPr>
                <w:sz w:val="20"/>
              </w:rPr>
              <w:t xml:space="preserve"> of leading retail chains and International brands</w:t>
            </w:r>
          </w:p>
        </w:tc>
        <w:tc>
          <w:tcPr>
            <w:tcW w:w="4405" w:type="dxa"/>
            <w:shd w:val="clear" w:color="auto" w:fill="auto"/>
          </w:tcPr>
          <w:p w14:paraId="77C1896D" w14:textId="77777777" w:rsidR="00D710F5" w:rsidRPr="00141E01" w:rsidRDefault="00D710F5" w:rsidP="0095284D">
            <w:pPr>
              <w:pStyle w:val="TableEntry"/>
              <w:suppressAutoHyphens/>
              <w:rPr>
                <w:sz w:val="20"/>
              </w:rPr>
            </w:pPr>
            <w:r w:rsidRPr="00141E01">
              <w:rPr>
                <w:sz w:val="20"/>
              </w:rPr>
              <w:t xml:space="preserve">How to increase exports and ways by which Pakistan can become an attractive destination for foreign buyers. </w:t>
            </w:r>
          </w:p>
          <w:p w14:paraId="56C20119" w14:textId="77777777" w:rsidR="00D710F5" w:rsidRPr="00141E01" w:rsidRDefault="00D710F5" w:rsidP="0095284D">
            <w:pPr>
              <w:pStyle w:val="TableEntry"/>
              <w:suppressAutoHyphens/>
              <w:rPr>
                <w:sz w:val="20"/>
              </w:rPr>
            </w:pPr>
          </w:p>
        </w:tc>
      </w:tr>
      <w:tr w:rsidR="00D710F5" w14:paraId="6B3E547F" w14:textId="77777777" w:rsidTr="0095284D">
        <w:trPr>
          <w:jc w:val="center"/>
        </w:trPr>
        <w:tc>
          <w:tcPr>
            <w:tcW w:w="2155" w:type="dxa"/>
            <w:shd w:val="clear" w:color="auto" w:fill="auto"/>
          </w:tcPr>
          <w:p w14:paraId="01A01056" w14:textId="77777777" w:rsidR="00D710F5" w:rsidRPr="00141E01" w:rsidRDefault="00D710F5" w:rsidP="0095284D">
            <w:pPr>
              <w:pStyle w:val="TableEntry"/>
              <w:suppressAutoHyphens/>
              <w:rPr>
                <w:sz w:val="20"/>
              </w:rPr>
            </w:pPr>
            <w:r w:rsidRPr="00141E01">
              <w:rPr>
                <w:sz w:val="20"/>
              </w:rPr>
              <w:t xml:space="preserve">Consultations held in 10 cities of Pakistan with various stakeholders, and proposals were also solicited from public at large by placing an advertisement in the newspaper. </w:t>
            </w:r>
          </w:p>
        </w:tc>
        <w:tc>
          <w:tcPr>
            <w:tcW w:w="1080" w:type="dxa"/>
            <w:shd w:val="clear" w:color="auto" w:fill="auto"/>
          </w:tcPr>
          <w:p w14:paraId="749F7434" w14:textId="77777777" w:rsidR="00D710F5" w:rsidRPr="00141E01" w:rsidRDefault="00D710F5" w:rsidP="0095284D">
            <w:pPr>
              <w:pStyle w:val="TableEntry"/>
              <w:suppressAutoHyphens/>
              <w:rPr>
                <w:sz w:val="20"/>
              </w:rPr>
            </w:pPr>
            <w:r w:rsidRPr="00141E01">
              <w:rPr>
                <w:sz w:val="20"/>
              </w:rPr>
              <w:t>October 2017 to February 2018</w:t>
            </w:r>
          </w:p>
        </w:tc>
        <w:tc>
          <w:tcPr>
            <w:tcW w:w="1710" w:type="dxa"/>
            <w:shd w:val="clear" w:color="auto" w:fill="auto"/>
          </w:tcPr>
          <w:p w14:paraId="2439DB3D" w14:textId="77777777" w:rsidR="00D710F5" w:rsidRPr="00141E01" w:rsidRDefault="00D710F5" w:rsidP="0095284D">
            <w:pPr>
              <w:pStyle w:val="TableEntry"/>
              <w:suppressAutoHyphens/>
              <w:rPr>
                <w:szCs w:val="18"/>
              </w:rPr>
            </w:pPr>
            <w:r w:rsidRPr="00141E01">
              <w:rPr>
                <w:sz w:val="20"/>
              </w:rPr>
              <w:t>Chambers of Commerce and Industries, Business Associations, trade bodies, Trade missions, Academia, Provincial Governments, Other Ministries and Retired Civil Servants.</w:t>
            </w:r>
            <w:r w:rsidRPr="00141E01">
              <w:rPr>
                <w:szCs w:val="18"/>
              </w:rPr>
              <w:t xml:space="preserve"> </w:t>
            </w:r>
          </w:p>
          <w:p w14:paraId="5A9C8B33" w14:textId="77777777" w:rsidR="00D710F5" w:rsidRPr="00141E01" w:rsidRDefault="00D710F5" w:rsidP="0095284D">
            <w:pPr>
              <w:pStyle w:val="TableEntry"/>
              <w:suppressAutoHyphens/>
              <w:rPr>
                <w:sz w:val="20"/>
              </w:rPr>
            </w:pPr>
          </w:p>
        </w:tc>
        <w:tc>
          <w:tcPr>
            <w:tcW w:w="4405" w:type="dxa"/>
            <w:shd w:val="clear" w:color="auto" w:fill="auto"/>
          </w:tcPr>
          <w:p w14:paraId="42950DC7" w14:textId="77777777" w:rsidR="00D710F5" w:rsidRPr="00141E01" w:rsidRDefault="00D710F5" w:rsidP="0095284D">
            <w:pPr>
              <w:pStyle w:val="TableEntry"/>
              <w:suppressAutoHyphens/>
              <w:rPr>
                <w:sz w:val="20"/>
              </w:rPr>
            </w:pPr>
            <w:r w:rsidRPr="00141E01">
              <w:rPr>
                <w:sz w:val="20"/>
              </w:rPr>
              <w:t>Get inputs for Strategic Trade Policy Framework (STPF) 2019-24</w:t>
            </w:r>
          </w:p>
        </w:tc>
      </w:tr>
      <w:tr w:rsidR="00D710F5" w14:paraId="0ED28841" w14:textId="77777777" w:rsidTr="0095284D">
        <w:trPr>
          <w:jc w:val="center"/>
        </w:trPr>
        <w:tc>
          <w:tcPr>
            <w:tcW w:w="2155" w:type="dxa"/>
            <w:shd w:val="clear" w:color="auto" w:fill="auto"/>
          </w:tcPr>
          <w:p w14:paraId="513C77BC" w14:textId="77777777" w:rsidR="00D710F5" w:rsidRPr="00141E01" w:rsidRDefault="00D710F5" w:rsidP="0095284D">
            <w:pPr>
              <w:pStyle w:val="TableEntry"/>
              <w:suppressAutoHyphens/>
              <w:rPr>
                <w:sz w:val="20"/>
              </w:rPr>
            </w:pPr>
            <w:r w:rsidRPr="00141E01">
              <w:rPr>
                <w:sz w:val="20"/>
              </w:rPr>
              <w:t>Rawalpindi</w:t>
            </w:r>
          </w:p>
        </w:tc>
        <w:tc>
          <w:tcPr>
            <w:tcW w:w="1080" w:type="dxa"/>
            <w:shd w:val="clear" w:color="auto" w:fill="auto"/>
          </w:tcPr>
          <w:p w14:paraId="17CA3AD8" w14:textId="77777777" w:rsidR="00D710F5" w:rsidRPr="00141E01" w:rsidRDefault="00D710F5" w:rsidP="0095284D">
            <w:pPr>
              <w:pStyle w:val="TableEntry"/>
              <w:suppressAutoHyphens/>
              <w:rPr>
                <w:sz w:val="20"/>
              </w:rPr>
            </w:pPr>
            <w:r w:rsidRPr="00141E01">
              <w:rPr>
                <w:sz w:val="20"/>
              </w:rPr>
              <w:t>18th April 2018</w:t>
            </w:r>
          </w:p>
        </w:tc>
        <w:tc>
          <w:tcPr>
            <w:tcW w:w="1710" w:type="dxa"/>
            <w:shd w:val="clear" w:color="auto" w:fill="auto"/>
          </w:tcPr>
          <w:p w14:paraId="44403840" w14:textId="77777777" w:rsidR="00D710F5" w:rsidRPr="00141E01" w:rsidRDefault="00D710F5" w:rsidP="0095284D">
            <w:pPr>
              <w:pStyle w:val="TableEntry"/>
              <w:suppressAutoHyphens/>
              <w:rPr>
                <w:sz w:val="20"/>
              </w:rPr>
            </w:pPr>
            <w:r w:rsidRPr="00141E01">
              <w:rPr>
                <w:sz w:val="20"/>
              </w:rPr>
              <w:t>Industry associations, government</w:t>
            </w:r>
          </w:p>
        </w:tc>
        <w:tc>
          <w:tcPr>
            <w:tcW w:w="4405" w:type="dxa"/>
            <w:shd w:val="clear" w:color="auto" w:fill="auto"/>
          </w:tcPr>
          <w:p w14:paraId="6EBAC989" w14:textId="77777777" w:rsidR="00D710F5" w:rsidRPr="00141E01" w:rsidRDefault="00D710F5" w:rsidP="0095284D">
            <w:pPr>
              <w:pStyle w:val="TableEntry"/>
              <w:suppressAutoHyphens/>
              <w:rPr>
                <w:sz w:val="20"/>
              </w:rPr>
            </w:pPr>
            <w:r w:rsidRPr="00141E01">
              <w:rPr>
                <w:sz w:val="20"/>
              </w:rPr>
              <w:t>Suggestions for the new National Tariff Policy 2019 were sought, and based on these consultations a draft was finalized by the NTC</w:t>
            </w:r>
          </w:p>
        </w:tc>
      </w:tr>
    </w:tbl>
    <w:p w14:paraId="3DC1E647" w14:textId="77777777" w:rsidR="00D710F5" w:rsidRDefault="00D710F5" w:rsidP="00D710F5">
      <w:pPr>
        <w:spacing w:after="240"/>
        <w:rPr>
          <w:color w:val="000000"/>
        </w:rPr>
      </w:pPr>
    </w:p>
    <w:p w14:paraId="52AC0244" w14:textId="77777777" w:rsidR="00D710F5" w:rsidRPr="00972088" w:rsidRDefault="00D710F5" w:rsidP="00D70AC2">
      <w:pPr>
        <w:pStyle w:val="Heading2"/>
      </w:pPr>
      <w:bookmarkStart w:id="31" w:name="_Toc436419353"/>
      <w:bookmarkStart w:id="32" w:name="_Toc452826919"/>
      <w:bookmarkStart w:id="33" w:name="_Toc430790362"/>
      <w:r w:rsidRPr="00972088">
        <w:t xml:space="preserve">Lessons Learned </w:t>
      </w:r>
      <w:r>
        <w:t>from</w:t>
      </w:r>
      <w:r w:rsidRPr="00972088">
        <w:t xml:space="preserve"> Stakeholder Engagement</w:t>
      </w:r>
      <w:bookmarkEnd w:id="31"/>
      <w:bookmarkEnd w:id="32"/>
      <w:r w:rsidRPr="00972088">
        <w:t xml:space="preserve"> </w:t>
      </w:r>
      <w:bookmarkEnd w:id="33"/>
    </w:p>
    <w:p w14:paraId="2BDFC7B1" w14:textId="70B0B324" w:rsidR="00D710F5" w:rsidRDefault="00D710F5" w:rsidP="003E3DFE">
      <w:pPr>
        <w:pStyle w:val="BodyText"/>
        <w:jc w:val="both"/>
      </w:pPr>
      <w:r>
        <w:t xml:space="preserve">The stakeholder engagement exercises carried out by the </w:t>
      </w:r>
      <w:r w:rsidR="008F4B65">
        <w:t>MOC</w:t>
      </w:r>
      <w:r>
        <w:t xml:space="preserve"> so far demonstrate that bringing interested parties on board when formulating policy yields dividends in terms of useful and workable </w:t>
      </w:r>
      <w:r w:rsidR="00CF4931">
        <w:t>recommendations and</w:t>
      </w:r>
      <w:r>
        <w:t xml:space="preserve"> buy in from interest groups.  It also serves to build trust between the government and stakeholder </w:t>
      </w:r>
      <w:r w:rsidR="00AB3190">
        <w:t>groups and</w:t>
      </w:r>
      <w:r>
        <w:t xml:space="preserve"> enables both parties to forge a common pathway towards the </w:t>
      </w:r>
      <w:proofErr w:type="gramStart"/>
      <w:r>
        <w:t>ultimate goal</w:t>
      </w:r>
      <w:proofErr w:type="gramEnd"/>
      <w:r>
        <w:t xml:space="preserve"> of benefitting Pakistan’s economy. However, </w:t>
      </w:r>
      <w:proofErr w:type="gramStart"/>
      <w:r>
        <w:t>past experience</w:t>
      </w:r>
      <w:proofErr w:type="gramEnd"/>
      <w:r>
        <w:t xml:space="preserve"> suggests that documenting the process of stakeholder engagement more carefully and ensuring that a two-way flow of information takes place during the process, as well as after, is essential.  This will help to put the dialogue on record, enable both parties to refer to it, and serve as a basis for future rounds of consultations.  </w:t>
      </w:r>
    </w:p>
    <w:p w14:paraId="42FC94BD" w14:textId="77777777" w:rsidR="00D710F5" w:rsidRPr="009701EE" w:rsidRDefault="00D710F5" w:rsidP="003E3DFE">
      <w:pPr>
        <w:pStyle w:val="BodyText"/>
        <w:jc w:val="both"/>
      </w:pPr>
      <w:r>
        <w:lastRenderedPageBreak/>
        <w:t>Further, best practices in consultation also require certain protocols to be followed, including timely circulation of proposed agendas, consultation on finalization of the agenda, circulation of background information on agenda items (wherever possible), recording of minutes, circulation of minutes and incorporation of comments on the same, and then uploading proceedings/minutes on an easily accessible platform.  All these will be part of the process in consultations to be undertaken for PGG.</w:t>
      </w:r>
    </w:p>
    <w:p w14:paraId="102ED2D6" w14:textId="77777777" w:rsidR="00D710F5" w:rsidRDefault="00D710F5" w:rsidP="00D70AC2">
      <w:pPr>
        <w:pStyle w:val="Heading2"/>
        <w:rPr>
          <w:rFonts w:eastAsia="Calibri"/>
        </w:rPr>
      </w:pPr>
      <w:bookmarkStart w:id="34" w:name="_Toc436419354"/>
      <w:bookmarkStart w:id="35" w:name="_Toc452826920"/>
      <w:r>
        <w:t xml:space="preserve">Stakeholder Engagement in PGG </w:t>
      </w:r>
      <w:r>
        <w:rPr>
          <w:rFonts w:eastAsia="Calibri"/>
        </w:rPr>
        <w:t>Pr</w:t>
      </w:r>
      <w:r w:rsidRPr="001A32E7">
        <w:rPr>
          <w:rFonts w:eastAsia="Calibri"/>
        </w:rPr>
        <w:t xml:space="preserve">oject </w:t>
      </w:r>
      <w:r>
        <w:rPr>
          <w:rFonts w:eastAsia="Calibri"/>
        </w:rPr>
        <w:t>P</w:t>
      </w:r>
      <w:r w:rsidRPr="001A32E7">
        <w:rPr>
          <w:rFonts w:eastAsia="Calibri"/>
        </w:rPr>
        <w:t xml:space="preserve">reparation </w:t>
      </w:r>
      <w:r>
        <w:rPr>
          <w:rFonts w:eastAsia="Calibri"/>
        </w:rPr>
        <w:t>P</w:t>
      </w:r>
      <w:r w:rsidRPr="001A32E7">
        <w:rPr>
          <w:rFonts w:eastAsia="Calibri"/>
        </w:rPr>
        <w:t>hase</w:t>
      </w:r>
      <w:bookmarkEnd w:id="34"/>
      <w:bookmarkEnd w:id="35"/>
    </w:p>
    <w:p w14:paraId="6F5B06D3" w14:textId="2AD56FA4" w:rsidR="00D710F5" w:rsidRDefault="00D710F5" w:rsidP="003E3DFE">
      <w:pPr>
        <w:pStyle w:val="BodyText"/>
        <w:jc w:val="both"/>
      </w:pPr>
      <w:r>
        <w:t xml:space="preserve">Stakeholder engagement meetings were organized in Karachi and Sialkot, with the help of TDAP and SMEDA respectively. The purpose of the consultations was to inform interested industry bodies and individuals about the proposed </w:t>
      </w:r>
      <w:proofErr w:type="gramStart"/>
      <w:r>
        <w:t>Project, and</w:t>
      </w:r>
      <w:proofErr w:type="gramEnd"/>
      <w:r>
        <w:t xml:space="preserve"> solicit their views so as to fine tune Project interventions as needed. </w:t>
      </w:r>
      <w:r w:rsidR="005C0327">
        <w:t>Stakeholders indicated their preferred mode of communication</w:t>
      </w:r>
      <w:r w:rsidR="0093276A">
        <w:t>/engagement</w:t>
      </w:r>
      <w:r w:rsidR="005C0327">
        <w:t xml:space="preserve"> during Project implementation would be through online means and occasional </w:t>
      </w:r>
      <w:r w:rsidR="00B37F66">
        <w:t xml:space="preserve">in-person consultations (which </w:t>
      </w:r>
      <w:proofErr w:type="gramStart"/>
      <w:r w:rsidR="00B37F66">
        <w:t>in light of</w:t>
      </w:r>
      <w:proofErr w:type="gramEnd"/>
      <w:r w:rsidR="00B37F66">
        <w:t xml:space="preserve"> COVID-19 will be done virtually until the pandemic is controlled). </w:t>
      </w:r>
      <w:r>
        <w:t xml:space="preserve">The consultations were </w:t>
      </w:r>
      <w:proofErr w:type="gramStart"/>
      <w:r>
        <w:t>documented</w:t>
      </w:r>
      <w:proofErr w:type="gramEnd"/>
      <w:r>
        <w:t xml:space="preserve"> and notes shared with participants.  </w:t>
      </w:r>
    </w:p>
    <w:p w14:paraId="1221B781" w14:textId="77777777" w:rsidR="00D710F5" w:rsidRPr="009A2551" w:rsidRDefault="00D710F5" w:rsidP="00D710F5">
      <w:pPr>
        <w:rPr>
          <w:b/>
          <w:bCs/>
          <w:i/>
          <w:iCs/>
        </w:rPr>
      </w:pPr>
      <w:r>
        <w:rPr>
          <w:b/>
          <w:bCs/>
          <w:i/>
          <w:iCs/>
        </w:rPr>
        <w:t xml:space="preserve">Consultation in </w:t>
      </w:r>
      <w:r w:rsidRPr="009A2551">
        <w:rPr>
          <w:b/>
          <w:bCs/>
          <w:i/>
          <w:iCs/>
        </w:rPr>
        <w:t>Karachi</w:t>
      </w:r>
      <w:r>
        <w:rPr>
          <w:b/>
          <w:bCs/>
          <w:i/>
          <w:iCs/>
        </w:rPr>
        <w:t>, November 19, 2019</w:t>
      </w:r>
    </w:p>
    <w:p w14:paraId="2793450F" w14:textId="5D1E771F" w:rsidR="00640FFB" w:rsidRDefault="00D710F5" w:rsidP="003E3DFE">
      <w:pPr>
        <w:pStyle w:val="BodyText"/>
        <w:jc w:val="both"/>
      </w:pPr>
      <w:r>
        <w:t xml:space="preserve">The consultation began with a presentation on Pakistan Goes Global, in which the Ministry of Commerce </w:t>
      </w:r>
      <w:r w:rsidR="00636961">
        <w:t>(</w:t>
      </w:r>
      <w:r w:rsidR="008F4B65">
        <w:t>MOC</w:t>
      </w:r>
      <w:r>
        <w:t xml:space="preserve">), Board of Investment (BOI), Trade Development Authority of Pakistan (TDAP) and Small and Medium Enterprise Development Authority (SMEDA) presented key activities that they will undertake as part of the program.  TDAP managed to bring together representatives from not only the Chambers of Commerce, but also from non-traditional sectors such as handicrafts and IT. </w:t>
      </w:r>
    </w:p>
    <w:p w14:paraId="3289843D" w14:textId="22E2B2AC" w:rsidR="00D710F5" w:rsidRDefault="00D710F5" w:rsidP="003E3DFE">
      <w:pPr>
        <w:pStyle w:val="BodyText"/>
        <w:jc w:val="both"/>
      </w:pPr>
      <w:r>
        <w:t xml:space="preserve">The participants were appreciative of the efforts being made by the Ministry </w:t>
      </w:r>
      <w:r w:rsidR="00721199">
        <w:t xml:space="preserve">and relevant agencies </w:t>
      </w:r>
      <w:r>
        <w:t xml:space="preserve">to mitigate their </w:t>
      </w:r>
      <w:proofErr w:type="gramStart"/>
      <w:r>
        <w:t>problems</w:t>
      </w:r>
      <w:r w:rsidR="00640FFB">
        <w:t>, and</w:t>
      </w:r>
      <w:proofErr w:type="gramEnd"/>
      <w:r w:rsidR="00640FFB">
        <w:t xml:space="preserve"> agreed in broad terms with the structure of the project</w:t>
      </w:r>
      <w:r w:rsidR="00721199">
        <w:t>. They also</w:t>
      </w:r>
      <w:r>
        <w:t xml:space="preserve"> point</w:t>
      </w:r>
      <w:r w:rsidR="00721199">
        <w:t>ed</w:t>
      </w:r>
      <w:r>
        <w:t xml:space="preserve"> towards structural and policy issues, which hamper their ability to conduct businesses</w:t>
      </w:r>
      <w:r w:rsidR="00721199">
        <w:t xml:space="preserve"> – some of which were outside the scope of the project</w:t>
      </w:r>
      <w:r>
        <w:t>.</w:t>
      </w:r>
    </w:p>
    <w:p w14:paraId="60A2F0B9" w14:textId="77777777" w:rsidR="00D710F5" w:rsidRDefault="00D710F5" w:rsidP="003E3DFE">
      <w:pPr>
        <w:pStyle w:val="BodyText"/>
        <w:jc w:val="both"/>
      </w:pPr>
      <w:r>
        <w:t xml:space="preserve">One of the most mentioned issues, was the high cost of running a business in Pakistan due to inflated costs of inputs, which makes their products uncompetitive in the international markets. Another issue mentioned by the participants repeatedly was issues in access to finance and the high cost of borrowing. </w:t>
      </w:r>
    </w:p>
    <w:p w14:paraId="65F9DDDE" w14:textId="77777777" w:rsidR="00D710F5" w:rsidRDefault="00D710F5" w:rsidP="003E3DFE">
      <w:pPr>
        <w:pStyle w:val="BodyText"/>
        <w:jc w:val="both"/>
      </w:pPr>
      <w:r>
        <w:t xml:space="preserve">Delays in sales tax refunds on the part of the FBR was a major concern for all the participants, and they felt that these delays have created liquidity issues and uncertainty in the business environment. </w:t>
      </w:r>
    </w:p>
    <w:p w14:paraId="3DC186BC" w14:textId="6DED2289" w:rsidR="00D710F5" w:rsidRDefault="00D710F5" w:rsidP="003E3DFE">
      <w:pPr>
        <w:pStyle w:val="BodyText"/>
        <w:jc w:val="both"/>
      </w:pPr>
      <w:r>
        <w:t xml:space="preserve">It was also suggested that </w:t>
      </w:r>
      <w:r w:rsidR="00721199">
        <w:t xml:space="preserve">export promotion efforts from </w:t>
      </w:r>
      <w:r>
        <w:t xml:space="preserve">the Government now need to focus on non-traditional sectors such as IT and software exports. The current IT exports of Pakistan stand at USD 1billion, as compared to USD 150 billion for India.  The sector has significant potential for growth, which has yet to be explored. </w:t>
      </w:r>
    </w:p>
    <w:p w14:paraId="445AA227" w14:textId="7E8AE1A0" w:rsidR="00D710F5" w:rsidRDefault="00D710F5" w:rsidP="003E3DFE">
      <w:pPr>
        <w:pStyle w:val="BodyText"/>
        <w:jc w:val="both"/>
      </w:pPr>
      <w:r>
        <w:t>It was also recommended that there should be a credible</w:t>
      </w:r>
      <w:r w:rsidR="00721199">
        <w:t xml:space="preserve"> stock of knowledge on </w:t>
      </w:r>
      <w:r w:rsidR="00640FFB">
        <w:t>sectors’ potential and challenges, including</w:t>
      </w:r>
      <w:r>
        <w:t xml:space="preserve"> country publication on the investment </w:t>
      </w:r>
      <w:r>
        <w:lastRenderedPageBreak/>
        <w:t xml:space="preserve">opportunities and climate in the country to facilitate investors. In addition, it was recommended that Government should focus on and conduct studies on the success stories in the </w:t>
      </w:r>
      <w:proofErr w:type="gramStart"/>
      <w:r>
        <w:t>region, and</w:t>
      </w:r>
      <w:proofErr w:type="gramEnd"/>
      <w:r>
        <w:t xml:space="preserve"> understand what other countries have done to boost exports. One of the models proposed for study was that of Bangladesh, which, in the last few years, has significantly enhanced its exports. </w:t>
      </w:r>
    </w:p>
    <w:p w14:paraId="640B936C" w14:textId="77777777" w:rsidR="00D710F5" w:rsidRPr="009A2551" w:rsidRDefault="00D710F5" w:rsidP="0026205F">
      <w:pPr>
        <w:pStyle w:val="BodyText"/>
        <w:rPr>
          <w:b/>
          <w:bCs/>
          <w:i/>
          <w:iCs/>
        </w:rPr>
      </w:pPr>
      <w:r w:rsidRPr="009A2551">
        <w:rPr>
          <w:b/>
          <w:bCs/>
          <w:i/>
          <w:iCs/>
        </w:rPr>
        <w:t>Consultation in Sialkot</w:t>
      </w:r>
      <w:r>
        <w:rPr>
          <w:b/>
          <w:bCs/>
          <w:i/>
          <w:iCs/>
        </w:rPr>
        <w:t>, November 21, 2019</w:t>
      </w:r>
    </w:p>
    <w:p w14:paraId="2B238D99" w14:textId="74CCB920" w:rsidR="00D710F5" w:rsidRDefault="00D710F5" w:rsidP="003E3DFE">
      <w:pPr>
        <w:pStyle w:val="BodyText"/>
        <w:jc w:val="both"/>
      </w:pPr>
      <w:r>
        <w:t>T</w:t>
      </w:r>
      <w:r w:rsidRPr="00FE6FC0">
        <w:t xml:space="preserve">he consultation began with a presentation on Pakistan Goes Global, in which the Ministry of Commerce </w:t>
      </w:r>
      <w:r w:rsidR="00636961">
        <w:t>(</w:t>
      </w:r>
      <w:r w:rsidR="008F4B65">
        <w:t>MOC</w:t>
      </w:r>
      <w:r w:rsidRPr="00FE6FC0">
        <w:t>), Board of Investment (BOI), Trade Development Authority of Pakistan (TDAP) and Small and Medium Enterprise Development Authority (SMEDA) presented key activities that they will undertake as part of the program.</w:t>
      </w:r>
    </w:p>
    <w:p w14:paraId="0DFBE7A0" w14:textId="77777777" w:rsidR="00D710F5" w:rsidRDefault="00D710F5" w:rsidP="003E3DFE">
      <w:pPr>
        <w:pStyle w:val="BodyText"/>
        <w:jc w:val="both"/>
      </w:pPr>
      <w:r>
        <w:t xml:space="preserve">During the discussion, participants said that the </w:t>
      </w:r>
      <w:r w:rsidRPr="00FE6FC0">
        <w:t>local industrialists already pay a high cost for utilities, and now with the exchange rate devaluation</w:t>
      </w:r>
      <w:r>
        <w:t>,</w:t>
      </w:r>
      <w:r w:rsidRPr="00FE6FC0">
        <w:t xml:space="preserve"> input costs have further gone up, thus making local industry uncompetitive</w:t>
      </w:r>
      <w:r>
        <w:t xml:space="preserve"> in comparison to rivals in South Asia. </w:t>
      </w:r>
    </w:p>
    <w:p w14:paraId="13F18BB7" w14:textId="77777777" w:rsidR="00D710F5" w:rsidRDefault="00D710F5" w:rsidP="003E3DFE">
      <w:pPr>
        <w:pStyle w:val="BodyText"/>
        <w:jc w:val="both"/>
      </w:pPr>
      <w:r>
        <w:t xml:space="preserve">The participants were of the view that Sialkot should be viewed differently from the other industrial hubs across Pakistan, as most of the industry here consists of SMEs. One of the biggest issues which came up during the discussions was lack of access to finance, and the bank’s reluctance to provide loans without collateral. Despite SBPs policies allowing the issuance of small loans without collateral, it is in practice difficult to access even small loans. </w:t>
      </w:r>
    </w:p>
    <w:p w14:paraId="3489B3DD" w14:textId="77777777" w:rsidR="00D710F5" w:rsidRDefault="00D710F5" w:rsidP="003E3DFE">
      <w:pPr>
        <w:pStyle w:val="BodyText"/>
        <w:jc w:val="both"/>
      </w:pPr>
      <w:r>
        <w:t xml:space="preserve">The issue of delays in sales tax refunds came up very frequently during the meeting as the slow refund process has created problems for the exporters and they are having difficulties meeting orders. The participants felt that refunds are prioritized for large industries like textiles, and SMEs are neglected in the process. </w:t>
      </w:r>
    </w:p>
    <w:p w14:paraId="21C5EA99" w14:textId="77777777" w:rsidR="00D710F5" w:rsidRDefault="00D710F5" w:rsidP="003E3DFE">
      <w:pPr>
        <w:pStyle w:val="BodyText"/>
        <w:jc w:val="both"/>
      </w:pPr>
      <w:r>
        <w:t xml:space="preserve">It was also pointed out that due to lack of accreditation labs in Pakistan, products are sent abroad for testing and certification, which significantly adds to the cost. The certification requirements of buyers are becoming more stringent and are ever changing, which makes it difficult for small industries to keep up. In addition, the payment processes have become more difficult due implementation of FATF regulations by the SBP, which not only adds time to the processing of payments, but also puts additional burden on businessmen, who are more vulnerable to exchange rate risk. </w:t>
      </w:r>
    </w:p>
    <w:p w14:paraId="40C5A3BB" w14:textId="77777777" w:rsidR="00D710F5" w:rsidRDefault="00D710F5" w:rsidP="003E3DFE">
      <w:pPr>
        <w:pStyle w:val="BodyText"/>
        <w:jc w:val="both"/>
      </w:pPr>
      <w:r>
        <w:t xml:space="preserve">Research and Development is an area which participants felt was neglected by the local industry as it requires a lot of investment, which most of them were in no position to make. They acknowledged that they have been making the same products for decades, without much innovation and improvement. They were of the view that support from the Government in research and development would help them to not only improve their products, but also help bring down the cost of production. </w:t>
      </w:r>
    </w:p>
    <w:p w14:paraId="792726F4" w14:textId="77777777" w:rsidR="00D710F5" w:rsidRPr="002C5F49" w:rsidRDefault="00D710F5" w:rsidP="00D710F5">
      <w:pPr>
        <w:pStyle w:val="Heading1"/>
      </w:pPr>
      <w:r>
        <w:lastRenderedPageBreak/>
        <w:t xml:space="preserve"> </w:t>
      </w:r>
      <w:bookmarkStart w:id="36" w:name="_Toc430790363"/>
      <w:bookmarkStart w:id="37" w:name="_Toc436419355"/>
      <w:bookmarkStart w:id="38" w:name="_Toc452826921"/>
      <w:bookmarkStart w:id="39" w:name="_Toc17966119"/>
      <w:r w:rsidRPr="002C5F49">
        <w:t>Stakeholder Identification and Analysis</w:t>
      </w:r>
      <w:bookmarkEnd w:id="36"/>
      <w:bookmarkEnd w:id="37"/>
      <w:bookmarkEnd w:id="38"/>
      <w:r w:rsidRPr="002C5F49">
        <w:t xml:space="preserve"> </w:t>
      </w:r>
      <w:bookmarkEnd w:id="39"/>
    </w:p>
    <w:p w14:paraId="6E0E5FAA" w14:textId="77777777" w:rsidR="00D710F5" w:rsidRPr="000E294A" w:rsidRDefault="00D710F5" w:rsidP="003E3DFE">
      <w:pPr>
        <w:pStyle w:val="BodyText"/>
        <w:jc w:val="both"/>
      </w:pPr>
      <w:r>
        <w:t>There are three categories of stakeholders identified under ESS 10.  These include project affected parties, other interested parties, and disadvantaged and vulnerable groups.</w:t>
      </w:r>
      <w:r>
        <w:rPr>
          <w:rStyle w:val="FootnoteReference"/>
        </w:rPr>
        <w:footnoteReference w:id="3"/>
      </w:r>
      <w:r>
        <w:t xml:space="preserve"> Project affected parties are defined in the ESS 10 as </w:t>
      </w:r>
      <w:r w:rsidRPr="000E294A">
        <w:t>“</w:t>
      </w:r>
      <w:r w:rsidRPr="000128D6">
        <w:rPr>
          <w:i/>
        </w:rPr>
        <w:t>those likely to be affected by the project because of actual impacts or potential risks to their physical environment, health, security, cultural practices, well-being, or livelihoods. These stakeholders may include individuals or groups, including local communities</w:t>
      </w:r>
      <w:r>
        <w:t>.”</w:t>
      </w:r>
      <w:r>
        <w:rPr>
          <w:rStyle w:val="FootnoteReference"/>
        </w:rPr>
        <w:footnoteReference w:id="4"/>
      </w:r>
      <w:r>
        <w:t xml:space="preserve"> The other interested parties “</w:t>
      </w:r>
      <w:r w:rsidRPr="000128D6">
        <w:rPr>
          <w:i/>
        </w:rPr>
        <w:t>refers to individuals, groups, or organizations with an interest in the project, which may be because of the project location, its characteristics, its impacts, or matters related to public interest. For example, these parties may include regulators, government officials, the private sector, the scientific community, academics, unions, women’s organizations, other civil society organizations, and cultural groups</w:t>
      </w:r>
      <w:r w:rsidRPr="000E294A">
        <w:t>.</w:t>
      </w:r>
      <w:r>
        <w:t>”</w:t>
      </w:r>
      <w:r>
        <w:rPr>
          <w:rStyle w:val="FootnoteReference"/>
        </w:rPr>
        <w:footnoteReference w:id="5"/>
      </w:r>
      <w:r w:rsidRPr="000E294A">
        <w:t xml:space="preserve"> </w:t>
      </w:r>
    </w:p>
    <w:p w14:paraId="3878F4DE" w14:textId="77777777" w:rsidR="00D710F5" w:rsidRDefault="00D710F5" w:rsidP="00D70AC2">
      <w:pPr>
        <w:pStyle w:val="Heading2"/>
        <w:rPr>
          <w:lang w:val="en-GB" w:eastAsia="en-GB"/>
        </w:rPr>
      </w:pPr>
      <w:bookmarkStart w:id="40" w:name="_Toc430790364"/>
      <w:bookmarkStart w:id="41" w:name="_Toc436419356"/>
      <w:bookmarkStart w:id="42" w:name="_Toc452826922"/>
      <w:r>
        <w:rPr>
          <w:lang w:val="en-GB" w:eastAsia="en-GB"/>
        </w:rPr>
        <w:t xml:space="preserve">Project </w:t>
      </w:r>
      <w:r w:rsidRPr="000E294A">
        <w:rPr>
          <w:lang w:val="en-GB" w:eastAsia="en-GB"/>
        </w:rPr>
        <w:t>Affected Parties</w:t>
      </w:r>
      <w:bookmarkEnd w:id="40"/>
      <w:bookmarkEnd w:id="41"/>
      <w:bookmarkEnd w:id="42"/>
    </w:p>
    <w:p w14:paraId="1356C916" w14:textId="3630AA3F" w:rsidR="00D710F5" w:rsidRPr="00C949A6" w:rsidRDefault="00D710F5" w:rsidP="003E3DFE">
      <w:pPr>
        <w:pStyle w:val="BodyText"/>
        <w:jc w:val="both"/>
      </w:pPr>
      <w:r w:rsidRPr="00C949A6">
        <w:t>For this project, the affected parties wo</w:t>
      </w:r>
      <w:r w:rsidR="00911D01">
        <w:t>uld mostly be government organiz</w:t>
      </w:r>
      <w:r w:rsidRPr="00C949A6">
        <w:t xml:space="preserve">ations, employees within these organizations, </w:t>
      </w:r>
      <w:proofErr w:type="gramStart"/>
      <w:r w:rsidRPr="00C949A6">
        <w:t>and also</w:t>
      </w:r>
      <w:proofErr w:type="gramEnd"/>
      <w:r w:rsidRPr="00C949A6">
        <w:t xml:space="preserve"> </w:t>
      </w:r>
      <w:r w:rsidR="00373C66">
        <w:t>the private sector, mainly firms with potentially exportable products</w:t>
      </w:r>
      <w:r w:rsidRPr="00C949A6">
        <w:t>.   The affected parties are listed as follows.</w:t>
      </w:r>
    </w:p>
    <w:p w14:paraId="036CFBB5" w14:textId="6CE6EACC" w:rsidR="00D710F5" w:rsidRDefault="00D710F5" w:rsidP="003E3DFE">
      <w:pPr>
        <w:pStyle w:val="BodyText"/>
        <w:numPr>
          <w:ilvl w:val="0"/>
          <w:numId w:val="4"/>
        </w:numPr>
        <w:jc w:val="both"/>
      </w:pPr>
      <w:r w:rsidRPr="00953C5F">
        <w:rPr>
          <w:i/>
        </w:rPr>
        <w:t xml:space="preserve">Ministry of Commerce </w:t>
      </w:r>
      <w:r>
        <w:rPr>
          <w:i/>
        </w:rPr>
        <w:t>(</w:t>
      </w:r>
      <w:r w:rsidR="008F4B65">
        <w:rPr>
          <w:i/>
        </w:rPr>
        <w:t>MOC</w:t>
      </w:r>
      <w:r>
        <w:rPr>
          <w:i/>
        </w:rPr>
        <w:t>)</w:t>
      </w:r>
      <w:r>
        <w:t xml:space="preserve">:  </w:t>
      </w:r>
      <w:r w:rsidR="004A7C96">
        <w:t xml:space="preserve">  </w:t>
      </w:r>
    </w:p>
    <w:p w14:paraId="0700F067" w14:textId="4A0EFE2A" w:rsidR="00D710F5" w:rsidRPr="00C949A6" w:rsidRDefault="00911D01" w:rsidP="003E3DFE">
      <w:pPr>
        <w:pStyle w:val="BodyText"/>
        <w:jc w:val="both"/>
      </w:pPr>
      <w:r>
        <w:t xml:space="preserve">The role of </w:t>
      </w:r>
      <w:r w:rsidR="008F4B65">
        <w:t>MOC</w:t>
      </w:r>
      <w:r w:rsidR="00D710F5" w:rsidRPr="00274551">
        <w:t xml:space="preserve"> </w:t>
      </w:r>
      <w:r w:rsidR="004D4085">
        <w:t xml:space="preserve">is central to project </w:t>
      </w:r>
      <w:r w:rsidR="00380340">
        <w:t>implementation</w:t>
      </w:r>
      <w:r w:rsidR="00380340" w:rsidRPr="00274551">
        <w:t xml:space="preserve"> and</w:t>
      </w:r>
      <w:r w:rsidR="004A7C96">
        <w:t xml:space="preserve"> will lead in </w:t>
      </w:r>
      <w:r w:rsidR="00D710F5" w:rsidRPr="00274551">
        <w:t>coordination</w:t>
      </w:r>
      <w:r w:rsidR="004A7C96">
        <w:t xml:space="preserve"> of activities</w:t>
      </w:r>
      <w:r w:rsidR="00D710F5" w:rsidRPr="00274551">
        <w:t xml:space="preserve"> </w:t>
      </w:r>
      <w:r w:rsidR="004A7C96">
        <w:t>with project partners</w:t>
      </w:r>
      <w:r w:rsidR="00D710F5" w:rsidRPr="00274551">
        <w:t xml:space="preserve">. </w:t>
      </w:r>
      <w:r w:rsidR="004A7C96">
        <w:t xml:space="preserve">  In addition to a coordinating role, the MOC will also be responsible for facilitating the PGG Board, rationalizing trade and tariff policy, building better systems for business regulation and licensing and bringing about improvements in trade diplomacy.</w:t>
      </w:r>
    </w:p>
    <w:p w14:paraId="0364A40D" w14:textId="77777777" w:rsidR="00D710F5" w:rsidRPr="00274551" w:rsidRDefault="00D710F5" w:rsidP="003E3DFE">
      <w:pPr>
        <w:pStyle w:val="BodyText"/>
        <w:numPr>
          <w:ilvl w:val="0"/>
          <w:numId w:val="4"/>
        </w:numPr>
        <w:jc w:val="both"/>
      </w:pPr>
      <w:r w:rsidRPr="00F133EF">
        <w:rPr>
          <w:i/>
          <w:szCs w:val="26"/>
        </w:rPr>
        <w:t>Board of Investment</w:t>
      </w:r>
      <w:r>
        <w:rPr>
          <w:i/>
          <w:szCs w:val="26"/>
        </w:rPr>
        <w:t xml:space="preserve"> (BOI)</w:t>
      </w:r>
      <w:r w:rsidRPr="00F133EF">
        <w:rPr>
          <w:i/>
          <w:szCs w:val="26"/>
        </w:rPr>
        <w:t>:</w:t>
      </w:r>
      <w:r w:rsidRPr="00F133EF">
        <w:rPr>
          <w:szCs w:val="26"/>
        </w:rPr>
        <w:t xml:space="preserve"> </w:t>
      </w:r>
      <w:r>
        <w:rPr>
          <w:szCs w:val="26"/>
        </w:rPr>
        <w:t xml:space="preserve"> </w:t>
      </w:r>
    </w:p>
    <w:p w14:paraId="46F625E5" w14:textId="0FC2AD2B" w:rsidR="00D710F5" w:rsidRPr="00274551" w:rsidRDefault="00D710F5" w:rsidP="003E3DFE">
      <w:pPr>
        <w:pStyle w:val="BodyText"/>
        <w:jc w:val="both"/>
      </w:pPr>
      <w:r w:rsidRPr="00274551">
        <w:t xml:space="preserve">BOI would be the lead agency for </w:t>
      </w:r>
      <w:r w:rsidR="0085426F">
        <w:t>activities</w:t>
      </w:r>
      <w:r w:rsidRPr="00274551">
        <w:t xml:space="preserve"> whereby the Government looks to automate </w:t>
      </w:r>
      <w:r w:rsidRPr="00C949A6">
        <w:rPr>
          <w:rFonts w:eastAsia="Calibri"/>
        </w:rPr>
        <w:t>G</w:t>
      </w:r>
      <w:r>
        <w:rPr>
          <w:rFonts w:eastAsia="Calibri"/>
        </w:rPr>
        <w:t>overnment</w:t>
      </w:r>
      <w:r w:rsidRPr="00C949A6">
        <w:rPr>
          <w:rFonts w:eastAsia="Calibri"/>
        </w:rPr>
        <w:t>-2-B</w:t>
      </w:r>
      <w:r>
        <w:rPr>
          <w:rFonts w:eastAsia="Calibri"/>
        </w:rPr>
        <w:t>usiness (G-2-B)</w:t>
      </w:r>
      <w:r w:rsidRPr="00C949A6">
        <w:rPr>
          <w:rFonts w:eastAsia="Calibri"/>
        </w:rPr>
        <w:t xml:space="preserve"> interactions through setting up </w:t>
      </w:r>
      <w:r w:rsidR="004A7C96">
        <w:rPr>
          <w:rFonts w:eastAsia="Calibri"/>
        </w:rPr>
        <w:t xml:space="preserve">the </w:t>
      </w:r>
      <w:r w:rsidRPr="00C949A6">
        <w:rPr>
          <w:rFonts w:eastAsia="Calibri"/>
        </w:rPr>
        <w:t xml:space="preserve">Pakistan Business </w:t>
      </w:r>
      <w:r w:rsidRPr="00274551">
        <w:rPr>
          <w:rFonts w:eastAsia="Calibri"/>
        </w:rPr>
        <w:t>Portal (</w:t>
      </w:r>
      <w:r w:rsidRPr="00C949A6">
        <w:rPr>
          <w:rFonts w:eastAsia="Calibri"/>
        </w:rPr>
        <w:t>PBP). In addition, the BOI would be responsible for designing an e-payment system for registration and licensing fee for the system</w:t>
      </w:r>
      <w:r>
        <w:rPr>
          <w:rFonts w:eastAsia="Calibri"/>
        </w:rPr>
        <w:t xml:space="preserve"> under the overall framework of ease of doing business</w:t>
      </w:r>
      <w:r w:rsidRPr="00C949A6">
        <w:rPr>
          <w:rFonts w:eastAsia="Calibri"/>
        </w:rPr>
        <w:t>.</w:t>
      </w:r>
    </w:p>
    <w:p w14:paraId="74B44FCB" w14:textId="77777777" w:rsidR="00D710F5" w:rsidRPr="00274551" w:rsidRDefault="00D710F5" w:rsidP="003E3DFE">
      <w:pPr>
        <w:pStyle w:val="BodyText"/>
        <w:numPr>
          <w:ilvl w:val="0"/>
          <w:numId w:val="4"/>
        </w:numPr>
        <w:jc w:val="both"/>
      </w:pPr>
      <w:r>
        <w:rPr>
          <w:i/>
          <w:szCs w:val="26"/>
        </w:rPr>
        <w:t>Trade Development Authority of Pakistan (TDAP):</w:t>
      </w:r>
      <w:r>
        <w:rPr>
          <w:szCs w:val="26"/>
        </w:rPr>
        <w:t xml:space="preserve">  </w:t>
      </w:r>
    </w:p>
    <w:p w14:paraId="44661A14" w14:textId="3EBAD434" w:rsidR="00D710F5" w:rsidRPr="00274551" w:rsidRDefault="00D710F5" w:rsidP="003E3DFE">
      <w:pPr>
        <w:pStyle w:val="BodyText"/>
        <w:jc w:val="both"/>
      </w:pPr>
      <w:r w:rsidRPr="00274551">
        <w:t xml:space="preserve">TDAP as the export promotion organization would have a role throughout the program. In addition to supporting the </w:t>
      </w:r>
      <w:r w:rsidR="008F4B65">
        <w:t>MOC</w:t>
      </w:r>
      <w:r w:rsidRPr="00274551">
        <w:t xml:space="preserve"> in taking this program forward, TDAP is the lead organization </w:t>
      </w:r>
      <w:r>
        <w:t>which</w:t>
      </w:r>
      <w:r w:rsidRPr="00274551">
        <w:t xml:space="preserve"> would be responsible for provision of export intelligence services</w:t>
      </w:r>
      <w:r>
        <w:t xml:space="preserve"> to the exporters</w:t>
      </w:r>
      <w:r w:rsidRPr="00274551">
        <w:t xml:space="preserve">. </w:t>
      </w:r>
      <w:r>
        <w:t xml:space="preserve">Furthermore, </w:t>
      </w:r>
      <w:r w:rsidRPr="00274551">
        <w:t xml:space="preserve">TDAP would also have an important role in </w:t>
      </w:r>
      <w:r w:rsidR="0082565C">
        <w:lastRenderedPageBreak/>
        <w:t xml:space="preserve">devising </w:t>
      </w:r>
      <w:r w:rsidRPr="00274551">
        <w:t xml:space="preserve">a mechanism </w:t>
      </w:r>
      <w:r w:rsidR="0082565C">
        <w:t>in collaboration with</w:t>
      </w:r>
      <w:r w:rsidRPr="00274551">
        <w:t xml:space="preserve"> </w:t>
      </w:r>
      <w:r w:rsidR="008F4B65">
        <w:t>MOCT</w:t>
      </w:r>
      <w:r w:rsidRPr="00274551">
        <w:t xml:space="preserve"> to improve the perform</w:t>
      </w:r>
      <w:r w:rsidR="0082565C">
        <w:t>ance of the commercial attaches</w:t>
      </w:r>
      <w:r w:rsidRPr="00274551">
        <w:t xml:space="preserve">. </w:t>
      </w:r>
    </w:p>
    <w:p w14:paraId="1C034A82" w14:textId="2DE9A88E" w:rsidR="00D710F5" w:rsidRPr="00274551" w:rsidRDefault="00F30A3F" w:rsidP="003E3DFE">
      <w:pPr>
        <w:pStyle w:val="BodyText"/>
        <w:numPr>
          <w:ilvl w:val="0"/>
          <w:numId w:val="4"/>
        </w:numPr>
        <w:jc w:val="both"/>
      </w:pPr>
      <w:r>
        <w:rPr>
          <w:i/>
          <w:szCs w:val="26"/>
        </w:rPr>
        <w:t>Business Community</w:t>
      </w:r>
      <w:r w:rsidR="00D710F5" w:rsidRPr="0082561C">
        <w:rPr>
          <w:i/>
          <w:szCs w:val="26"/>
        </w:rPr>
        <w:t>:</w:t>
      </w:r>
      <w:r w:rsidR="00D710F5" w:rsidRPr="0082561C">
        <w:rPr>
          <w:szCs w:val="26"/>
        </w:rPr>
        <w:t xml:space="preserve"> </w:t>
      </w:r>
    </w:p>
    <w:p w14:paraId="454E1D84" w14:textId="7CD11B8F" w:rsidR="00D710F5" w:rsidRPr="00274551" w:rsidRDefault="00D710F5" w:rsidP="003E3DFE">
      <w:pPr>
        <w:pStyle w:val="BodyText"/>
        <w:jc w:val="both"/>
      </w:pPr>
      <w:r w:rsidRPr="00274551">
        <w:t xml:space="preserve">A key focus of the proposed </w:t>
      </w:r>
      <w:r w:rsidR="00640FFB">
        <w:t xml:space="preserve">project is to </w:t>
      </w:r>
      <w:r w:rsidRPr="00274551">
        <w:t xml:space="preserve">facilitate the business </w:t>
      </w:r>
      <w:r w:rsidR="00A53887" w:rsidRPr="00274551">
        <w:t>communit</w:t>
      </w:r>
      <w:r w:rsidR="00A53887">
        <w:t>y’s</w:t>
      </w:r>
      <w:r w:rsidR="0079758A">
        <w:t xml:space="preserve"> linkages with foreign markets,</w:t>
      </w:r>
      <w:r w:rsidRPr="00274551">
        <w:t xml:space="preserve"> </w:t>
      </w:r>
      <w:r w:rsidR="00640FFB">
        <w:t>as well as having an active channel of communication with the private sector.</w:t>
      </w:r>
    </w:p>
    <w:p w14:paraId="458C4CA6" w14:textId="77777777" w:rsidR="00D710F5" w:rsidRPr="00C949A6" w:rsidRDefault="00D710F5" w:rsidP="003E3DFE">
      <w:pPr>
        <w:pStyle w:val="BodyText"/>
        <w:numPr>
          <w:ilvl w:val="0"/>
          <w:numId w:val="4"/>
        </w:numPr>
        <w:spacing w:after="0"/>
        <w:jc w:val="both"/>
        <w:rPr>
          <w:rFonts w:ascii="Times New Roman" w:hAnsi="Times New Roman"/>
        </w:rPr>
      </w:pPr>
      <w:r w:rsidRPr="0017761F">
        <w:rPr>
          <w:i/>
        </w:rPr>
        <w:t>Provincial Industry and Commerce Departments:</w:t>
      </w:r>
      <w:r>
        <w:t xml:space="preserve"> </w:t>
      </w:r>
    </w:p>
    <w:p w14:paraId="3265443D" w14:textId="03213037" w:rsidR="00D710F5" w:rsidRPr="00C949A6" w:rsidRDefault="00D710F5" w:rsidP="003E3DFE">
      <w:pPr>
        <w:pStyle w:val="BodyText"/>
        <w:jc w:val="both"/>
      </w:pPr>
      <w:r w:rsidRPr="00274551">
        <w:t xml:space="preserve">There is a need to coordinate closely with provincial Industries and Commerce departments to achieve the desired increase in export volume and enhance trade. </w:t>
      </w:r>
      <w:r w:rsidR="001879E1">
        <w:t>T</w:t>
      </w:r>
      <w:r w:rsidRPr="00274551">
        <w:t>he proposed</w:t>
      </w:r>
      <w:r w:rsidRPr="00C949A6">
        <w:rPr>
          <w:rFonts w:eastAsia="Calibri"/>
        </w:rPr>
        <w:t xml:space="preserve"> </w:t>
      </w:r>
      <w:r w:rsidR="006301BC">
        <w:rPr>
          <w:rFonts w:eastAsia="Calibri"/>
        </w:rPr>
        <w:t>PGG Board</w:t>
      </w:r>
      <w:r w:rsidRPr="00C949A6">
        <w:rPr>
          <w:rFonts w:eastAsia="Calibri"/>
        </w:rPr>
        <w:t xml:space="preserve"> would have representation from the </w:t>
      </w:r>
      <w:r w:rsidR="001879E1">
        <w:t xml:space="preserve">relevant federal and </w:t>
      </w:r>
      <w:r w:rsidRPr="00C949A6">
        <w:t xml:space="preserve">provincial </w:t>
      </w:r>
      <w:r w:rsidR="001879E1">
        <w:t xml:space="preserve">governments </w:t>
      </w:r>
      <w:r w:rsidRPr="00C949A6">
        <w:t xml:space="preserve">and </w:t>
      </w:r>
      <w:r w:rsidR="001879E1">
        <w:t xml:space="preserve">the </w:t>
      </w:r>
      <w:r w:rsidRPr="00C949A6">
        <w:t>private sector.</w:t>
      </w:r>
    </w:p>
    <w:p w14:paraId="71F79A05" w14:textId="77777777" w:rsidR="00D710F5" w:rsidRPr="00C949A6" w:rsidRDefault="00D710F5" w:rsidP="003E3DFE">
      <w:pPr>
        <w:pStyle w:val="BodyText"/>
        <w:numPr>
          <w:ilvl w:val="0"/>
          <w:numId w:val="4"/>
        </w:numPr>
        <w:spacing w:after="0"/>
        <w:jc w:val="both"/>
        <w:rPr>
          <w:rFonts w:ascii="Times New Roman" w:hAnsi="Times New Roman"/>
        </w:rPr>
      </w:pPr>
      <w:r w:rsidDel="00A05C56">
        <w:t xml:space="preserve"> </w:t>
      </w:r>
      <w:r w:rsidRPr="0017761F">
        <w:rPr>
          <w:i/>
        </w:rPr>
        <w:t>State Bank of Pakistan:</w:t>
      </w:r>
      <w:r>
        <w:t xml:space="preserve"> </w:t>
      </w:r>
    </w:p>
    <w:p w14:paraId="42DCA50E" w14:textId="4FDF9DB5" w:rsidR="00D710F5" w:rsidRPr="00C949A6" w:rsidRDefault="00D710F5" w:rsidP="003E3DFE">
      <w:pPr>
        <w:pStyle w:val="BodyText"/>
        <w:jc w:val="both"/>
      </w:pPr>
      <w:r w:rsidRPr="00274551">
        <w:t xml:space="preserve">The role of </w:t>
      </w:r>
      <w:r w:rsidR="001879E1">
        <w:t xml:space="preserve">the </w:t>
      </w:r>
      <w:r w:rsidRPr="00274551">
        <w:t xml:space="preserve">State Bank of Pakistan (SBP) would be essential </w:t>
      </w:r>
      <w:r>
        <w:t xml:space="preserve">in </w:t>
      </w:r>
      <w:r w:rsidRPr="00274551">
        <w:t xml:space="preserve">implementing the proposed policy level changes to the trade structure. The role of SBP would be vital in implementing the program on ease of </w:t>
      </w:r>
      <w:r w:rsidR="001879E1">
        <w:t xml:space="preserve">doing </w:t>
      </w:r>
      <w:r w:rsidRPr="00274551">
        <w:t xml:space="preserve">business as the SBP would provide solutions and regulate electronic payments envisaged under the program. </w:t>
      </w:r>
      <w:r w:rsidR="001879E1">
        <w:t>E</w:t>
      </w:r>
      <w:r w:rsidRPr="00274551">
        <w:t>ase of payment</w:t>
      </w:r>
      <w:r w:rsidR="001879E1">
        <w:t>s</w:t>
      </w:r>
      <w:r w:rsidRPr="00274551">
        <w:t xml:space="preserve"> would go a long way in achieving </w:t>
      </w:r>
      <w:r w:rsidR="001879E1">
        <w:t>a</w:t>
      </w:r>
      <w:r w:rsidRPr="00274551">
        <w:t xml:space="preserve"> reduction in cost of operations for business. In addition, SBP will also play an integral part in taking forward the component of evidence</w:t>
      </w:r>
      <w:r w:rsidR="00F3134C">
        <w:t>-</w:t>
      </w:r>
      <w:r w:rsidRPr="00274551">
        <w:t xml:space="preserve">based policy making. </w:t>
      </w:r>
    </w:p>
    <w:p w14:paraId="25B4F203" w14:textId="77777777" w:rsidR="00D710F5" w:rsidRDefault="00D710F5" w:rsidP="003E3DFE">
      <w:pPr>
        <w:pStyle w:val="BodyText"/>
        <w:numPr>
          <w:ilvl w:val="0"/>
          <w:numId w:val="4"/>
        </w:numPr>
        <w:spacing w:after="0"/>
        <w:jc w:val="both"/>
        <w:rPr>
          <w:rFonts w:ascii="Times New Roman" w:hAnsi="Times New Roman"/>
        </w:rPr>
      </w:pPr>
      <w:r w:rsidRPr="00A05C56">
        <w:rPr>
          <w:i/>
        </w:rPr>
        <w:t>Federal Board of Revenue (FBR):</w:t>
      </w:r>
      <w:r w:rsidRPr="00A05C56">
        <w:rPr>
          <w:rFonts w:ascii="Times New Roman" w:hAnsi="Times New Roman"/>
        </w:rPr>
        <w:t xml:space="preserve"> </w:t>
      </w:r>
    </w:p>
    <w:p w14:paraId="29B53475" w14:textId="13858907" w:rsidR="00D710F5" w:rsidRPr="00C949A6" w:rsidRDefault="00D710F5" w:rsidP="003E3DFE">
      <w:pPr>
        <w:pStyle w:val="BodyText"/>
        <w:jc w:val="both"/>
      </w:pPr>
      <w:r w:rsidRPr="00C949A6">
        <w:t xml:space="preserve">The role of FBR would also be important under </w:t>
      </w:r>
      <w:r w:rsidR="001879E1">
        <w:t>component 1</w:t>
      </w:r>
      <w:r w:rsidRPr="00C949A6">
        <w:t xml:space="preserve"> when </w:t>
      </w:r>
      <w:r w:rsidR="001879E1">
        <w:t xml:space="preserve">the </w:t>
      </w:r>
      <w:r w:rsidRPr="00C949A6">
        <w:t xml:space="preserve">Monitoring and Evaluation </w:t>
      </w:r>
      <w:r w:rsidR="006A0358">
        <w:t>Platform</w:t>
      </w:r>
      <w:r w:rsidR="006A0358" w:rsidRPr="00C949A6">
        <w:t xml:space="preserve"> </w:t>
      </w:r>
      <w:r w:rsidR="001879E1">
        <w:t>for</w:t>
      </w:r>
      <w:r w:rsidRPr="00C949A6">
        <w:t xml:space="preserve"> Public </w:t>
      </w:r>
      <w:r w:rsidR="006A0358" w:rsidRPr="00C949A6">
        <w:t>Polic</w:t>
      </w:r>
      <w:r w:rsidR="006A0358">
        <w:t>ies on Export Competitiveness</w:t>
      </w:r>
      <w:r w:rsidR="006A0358" w:rsidRPr="00C949A6">
        <w:t xml:space="preserve"> </w:t>
      </w:r>
      <w:r w:rsidRPr="00C949A6">
        <w:t>is set up, which would gather dat</w:t>
      </w:r>
      <w:r w:rsidR="004E6D6C">
        <w:t>a</w:t>
      </w:r>
      <w:r w:rsidRPr="00C949A6">
        <w:t xml:space="preserve"> from relevant agencies. The FBR would play an important role in providing trade statistics and relevant data, which would then be used for policy formulation. Similarly, </w:t>
      </w:r>
      <w:r w:rsidR="006A0358">
        <w:t>the implementation of the National Tariff Policy will require interactions with FBR</w:t>
      </w:r>
      <w:r w:rsidRPr="00C949A6">
        <w:t>.</w:t>
      </w:r>
    </w:p>
    <w:p w14:paraId="27AA3E67" w14:textId="5091B31D" w:rsidR="00D710F5" w:rsidRDefault="008F4B65" w:rsidP="003E3DFE">
      <w:pPr>
        <w:pStyle w:val="BodyText"/>
        <w:numPr>
          <w:ilvl w:val="0"/>
          <w:numId w:val="4"/>
        </w:numPr>
        <w:spacing w:after="0"/>
        <w:jc w:val="both"/>
        <w:rPr>
          <w:rFonts w:ascii="Times New Roman" w:hAnsi="Times New Roman"/>
        </w:rPr>
      </w:pPr>
      <w:r>
        <w:rPr>
          <w:i/>
        </w:rPr>
        <w:t>PGG Board</w:t>
      </w:r>
      <w:r w:rsidR="00D710F5" w:rsidRPr="00A05C56">
        <w:rPr>
          <w:i/>
        </w:rPr>
        <w:t xml:space="preserve"> (</w:t>
      </w:r>
      <w:r>
        <w:rPr>
          <w:i/>
        </w:rPr>
        <w:t>PGG Board</w:t>
      </w:r>
      <w:r w:rsidR="00D710F5" w:rsidRPr="00A05C56">
        <w:rPr>
          <w:i/>
        </w:rPr>
        <w:t>):</w:t>
      </w:r>
      <w:r w:rsidR="00D710F5" w:rsidRPr="00A05C56">
        <w:rPr>
          <w:rFonts w:ascii="Times New Roman" w:hAnsi="Times New Roman"/>
        </w:rPr>
        <w:t xml:space="preserve">  </w:t>
      </w:r>
    </w:p>
    <w:p w14:paraId="4928BD59" w14:textId="5D1F5762" w:rsidR="00D710F5" w:rsidRPr="00A05C56" w:rsidRDefault="00D710F5" w:rsidP="003E3DFE">
      <w:pPr>
        <w:pStyle w:val="BodyText"/>
        <w:jc w:val="both"/>
      </w:pPr>
      <w:r w:rsidRPr="00C949A6">
        <w:t xml:space="preserve">The </w:t>
      </w:r>
      <w:r w:rsidR="008F4B65">
        <w:t>PGG Board</w:t>
      </w:r>
      <w:r w:rsidRPr="00C949A6">
        <w:t xml:space="preserve"> will be responsible for tariff policy formulation. This component would strengthen the capacity of the </w:t>
      </w:r>
      <w:r w:rsidR="008F4B65">
        <w:t>PGG Board</w:t>
      </w:r>
      <w:r w:rsidRPr="00C949A6">
        <w:t>, both in-terms of HR an</w:t>
      </w:r>
      <w:r w:rsidR="001879E1">
        <w:t xml:space="preserve">d equipment, which would have </w:t>
      </w:r>
      <w:r w:rsidRPr="00C949A6">
        <w:t xml:space="preserve">financial, administrative and HR implications for the organization. </w:t>
      </w:r>
    </w:p>
    <w:p w14:paraId="3AF4E78F" w14:textId="77777777" w:rsidR="00D710F5" w:rsidRDefault="00D710F5" w:rsidP="003E3DFE">
      <w:pPr>
        <w:pStyle w:val="BodyText"/>
        <w:numPr>
          <w:ilvl w:val="0"/>
          <w:numId w:val="4"/>
        </w:numPr>
        <w:spacing w:after="0"/>
        <w:jc w:val="both"/>
        <w:rPr>
          <w:rFonts w:ascii="Times New Roman" w:hAnsi="Times New Roman"/>
        </w:rPr>
      </w:pPr>
      <w:r w:rsidRPr="00A05C56">
        <w:rPr>
          <w:i/>
        </w:rPr>
        <w:t>Ministry of Finance:</w:t>
      </w:r>
      <w:r w:rsidRPr="00A05C56">
        <w:rPr>
          <w:rFonts w:ascii="Times New Roman" w:hAnsi="Times New Roman"/>
        </w:rPr>
        <w:t xml:space="preserve">  </w:t>
      </w:r>
    </w:p>
    <w:p w14:paraId="606425D3" w14:textId="147EAD86" w:rsidR="00D710F5" w:rsidRPr="00C949A6" w:rsidRDefault="00D710F5" w:rsidP="003E3DFE">
      <w:pPr>
        <w:pStyle w:val="BodyText"/>
        <w:jc w:val="both"/>
      </w:pPr>
      <w:r w:rsidRPr="00C949A6">
        <w:t xml:space="preserve">The Ministry of Finance will be responsible for taking over regulation of insurance companies after the </w:t>
      </w:r>
      <w:r w:rsidR="001879E1">
        <w:t>integration</w:t>
      </w:r>
      <w:r w:rsidRPr="00C949A6">
        <w:t xml:space="preserve"> of Ministries.</w:t>
      </w:r>
    </w:p>
    <w:p w14:paraId="7D0BF76D" w14:textId="77777777" w:rsidR="00D710F5" w:rsidRPr="0082561C" w:rsidRDefault="00D710F5" w:rsidP="00D710F5">
      <w:pPr>
        <w:pStyle w:val="BodyText"/>
      </w:pPr>
    </w:p>
    <w:p w14:paraId="4F200064" w14:textId="77777777" w:rsidR="00D710F5" w:rsidRDefault="00D710F5" w:rsidP="00D710F5">
      <w:pPr>
        <w:pStyle w:val="TableTitle"/>
      </w:pPr>
      <w:r>
        <w:t xml:space="preserve">Table 4.1: Project Affected Parties </w:t>
      </w:r>
    </w:p>
    <w:tbl>
      <w:tblPr>
        <w:tblW w:w="9355" w:type="dxa"/>
        <w:jc w:val="center"/>
        <w:tblBorders>
          <w:top w:val="single" w:sz="8" w:space="0" w:color="auto"/>
          <w:bottom w:val="single" w:sz="8" w:space="0" w:color="auto"/>
          <w:insideH w:val="dotted" w:sz="8" w:space="0" w:color="auto"/>
        </w:tblBorders>
        <w:tblCellMar>
          <w:left w:w="72" w:type="dxa"/>
          <w:right w:w="72" w:type="dxa"/>
        </w:tblCellMar>
        <w:tblLook w:val="04A0" w:firstRow="1" w:lastRow="0" w:firstColumn="1" w:lastColumn="0" w:noHBand="0" w:noVBand="1"/>
      </w:tblPr>
      <w:tblGrid>
        <w:gridCol w:w="2288"/>
        <w:gridCol w:w="4527"/>
        <w:gridCol w:w="1390"/>
        <w:gridCol w:w="1150"/>
      </w:tblGrid>
      <w:tr w:rsidR="00D710F5" w:rsidRPr="00750628" w14:paraId="333CD248" w14:textId="77777777" w:rsidTr="0095284D">
        <w:trPr>
          <w:tblHeader/>
          <w:jc w:val="center"/>
        </w:trPr>
        <w:tc>
          <w:tcPr>
            <w:tcW w:w="2288" w:type="dxa"/>
            <w:shd w:val="clear" w:color="auto" w:fill="auto"/>
          </w:tcPr>
          <w:p w14:paraId="19BBD678" w14:textId="77777777" w:rsidR="00D710F5" w:rsidRPr="00141E01" w:rsidRDefault="00D710F5" w:rsidP="0095284D">
            <w:pPr>
              <w:pStyle w:val="TableHead"/>
              <w:suppressAutoHyphens/>
              <w:rPr>
                <w:szCs w:val="18"/>
              </w:rPr>
            </w:pPr>
            <w:r w:rsidRPr="00141E01">
              <w:rPr>
                <w:szCs w:val="18"/>
              </w:rPr>
              <w:t>Project Component</w:t>
            </w:r>
          </w:p>
        </w:tc>
        <w:tc>
          <w:tcPr>
            <w:tcW w:w="4527" w:type="dxa"/>
            <w:shd w:val="clear" w:color="auto" w:fill="auto"/>
          </w:tcPr>
          <w:p w14:paraId="561F80C6" w14:textId="77777777" w:rsidR="00D710F5" w:rsidRPr="00141E01" w:rsidRDefault="00D710F5" w:rsidP="0095284D">
            <w:pPr>
              <w:pStyle w:val="TableHead"/>
              <w:suppressAutoHyphens/>
              <w:rPr>
                <w:szCs w:val="18"/>
              </w:rPr>
            </w:pPr>
            <w:r w:rsidRPr="00141E01">
              <w:rPr>
                <w:szCs w:val="18"/>
              </w:rPr>
              <w:t>Stakeholder Group</w:t>
            </w:r>
          </w:p>
        </w:tc>
        <w:tc>
          <w:tcPr>
            <w:tcW w:w="1390" w:type="dxa"/>
            <w:shd w:val="clear" w:color="auto" w:fill="auto"/>
          </w:tcPr>
          <w:p w14:paraId="119C1B34" w14:textId="77777777" w:rsidR="00D710F5" w:rsidRPr="00141E01" w:rsidRDefault="00D710F5" w:rsidP="0095284D">
            <w:pPr>
              <w:pStyle w:val="TableHead"/>
              <w:suppressAutoHyphens/>
              <w:rPr>
                <w:szCs w:val="18"/>
              </w:rPr>
            </w:pPr>
            <w:r w:rsidRPr="00141E01">
              <w:rPr>
                <w:szCs w:val="18"/>
              </w:rPr>
              <w:t>Impact</w:t>
            </w:r>
          </w:p>
        </w:tc>
        <w:tc>
          <w:tcPr>
            <w:tcW w:w="1150" w:type="dxa"/>
            <w:shd w:val="clear" w:color="auto" w:fill="auto"/>
          </w:tcPr>
          <w:p w14:paraId="2CCC4341" w14:textId="77777777" w:rsidR="00D710F5" w:rsidRPr="00141E01" w:rsidRDefault="00D710F5" w:rsidP="0095284D">
            <w:pPr>
              <w:pStyle w:val="TableHead"/>
              <w:suppressAutoHyphens/>
              <w:rPr>
                <w:szCs w:val="18"/>
              </w:rPr>
            </w:pPr>
            <w:r w:rsidRPr="00141E01">
              <w:rPr>
                <w:szCs w:val="18"/>
              </w:rPr>
              <w:t>Influence</w:t>
            </w:r>
          </w:p>
        </w:tc>
      </w:tr>
      <w:tr w:rsidR="00D710F5" w:rsidRPr="004843DA" w14:paraId="246E7A1B" w14:textId="77777777" w:rsidTr="0095284D">
        <w:trPr>
          <w:jc w:val="center"/>
        </w:trPr>
        <w:tc>
          <w:tcPr>
            <w:tcW w:w="2288" w:type="dxa"/>
            <w:shd w:val="clear" w:color="auto" w:fill="auto"/>
          </w:tcPr>
          <w:p w14:paraId="41D7E310" w14:textId="729B1AED" w:rsidR="00D710F5" w:rsidRDefault="00623DB6" w:rsidP="0095284D">
            <w:pPr>
              <w:pStyle w:val="TableEntry"/>
              <w:rPr>
                <w:rFonts w:eastAsia="Calibri"/>
              </w:rPr>
            </w:pPr>
            <w:r w:rsidRPr="00623DB6">
              <w:rPr>
                <w:rFonts w:eastAsia="Calibri"/>
              </w:rPr>
              <w:t xml:space="preserve">Component 1: Investing in the Enabling Environment for Exporting </w:t>
            </w:r>
            <w:r>
              <w:rPr>
                <w:rFonts w:eastAsia="Calibri"/>
              </w:rPr>
              <w:t xml:space="preserve"> </w:t>
            </w:r>
          </w:p>
          <w:p w14:paraId="254754A9" w14:textId="77777777" w:rsidR="00D710F5" w:rsidRDefault="00D710F5" w:rsidP="0095284D">
            <w:pPr>
              <w:pStyle w:val="TableEntry"/>
              <w:rPr>
                <w:rFonts w:eastAsia="Calibri"/>
              </w:rPr>
            </w:pPr>
          </w:p>
          <w:p w14:paraId="3C87A193" w14:textId="580B571D" w:rsidR="00D710F5" w:rsidRPr="00C949A6" w:rsidRDefault="00CB0F64" w:rsidP="0095284D">
            <w:pPr>
              <w:pStyle w:val="TableEntry"/>
            </w:pPr>
            <w:r>
              <w:rPr>
                <w:rFonts w:eastAsia="Calibri"/>
              </w:rPr>
              <w:t xml:space="preserve">Establishment of a </w:t>
            </w:r>
            <w:r w:rsidR="00CF574F">
              <w:rPr>
                <w:rFonts w:eastAsia="Calibri"/>
              </w:rPr>
              <w:t>PGG Board</w:t>
            </w:r>
            <w:r>
              <w:rPr>
                <w:rFonts w:eastAsia="Calibri"/>
              </w:rPr>
              <w:t xml:space="preserve">; </w:t>
            </w:r>
            <w:r w:rsidRPr="00CB0F64">
              <w:rPr>
                <w:rFonts w:eastAsia="Calibri"/>
              </w:rPr>
              <w:t>establishment of a monitoring and evaluation (M&amp;E) platform for trade public support interventions</w:t>
            </w:r>
            <w:r>
              <w:rPr>
                <w:rFonts w:eastAsia="Calibri"/>
              </w:rPr>
              <w:t xml:space="preserve">; </w:t>
            </w:r>
            <w:r w:rsidRPr="00CB0F64">
              <w:rPr>
                <w:rFonts w:eastAsia="Calibri"/>
              </w:rPr>
              <w:t>one-stop shop for business licensing and registration in Pakistan</w:t>
            </w:r>
            <w:r>
              <w:rPr>
                <w:rFonts w:eastAsia="Calibri"/>
              </w:rPr>
              <w:t xml:space="preserve">; </w:t>
            </w:r>
            <w:r w:rsidR="00623DB6">
              <w:rPr>
                <w:rFonts w:eastAsia="Calibri"/>
              </w:rPr>
              <w:t>strengthening</w:t>
            </w:r>
            <w:r w:rsidRPr="00CB0F64">
              <w:rPr>
                <w:rFonts w:eastAsia="Calibri"/>
              </w:rPr>
              <w:t xml:space="preserve"> of the Trade Policy Wing (TPW</w:t>
            </w:r>
            <w:r>
              <w:rPr>
                <w:rFonts w:eastAsia="Calibri"/>
              </w:rPr>
              <w:t xml:space="preserve">) in </w:t>
            </w:r>
            <w:r w:rsidR="008F4B65">
              <w:rPr>
                <w:rFonts w:eastAsia="Calibri"/>
              </w:rPr>
              <w:t>MOC</w:t>
            </w:r>
            <w:r w:rsidRPr="00CB0F64">
              <w:rPr>
                <w:rFonts w:eastAsia="Calibri"/>
              </w:rPr>
              <w:t xml:space="preserve"> and of the </w:t>
            </w:r>
            <w:r w:rsidR="00623DB6">
              <w:t>NTC</w:t>
            </w:r>
          </w:p>
          <w:p w14:paraId="3A4E5780" w14:textId="77777777" w:rsidR="00D710F5" w:rsidRPr="00141E01" w:rsidRDefault="00D710F5" w:rsidP="0095284D">
            <w:pPr>
              <w:pStyle w:val="TableEntry"/>
              <w:suppressAutoHyphens/>
              <w:rPr>
                <w:sz w:val="20"/>
              </w:rPr>
            </w:pPr>
          </w:p>
        </w:tc>
        <w:tc>
          <w:tcPr>
            <w:tcW w:w="4527" w:type="dxa"/>
            <w:shd w:val="clear" w:color="auto" w:fill="auto"/>
          </w:tcPr>
          <w:p w14:paraId="6A7F8DD5" w14:textId="4619CE80" w:rsidR="00D710F5" w:rsidRPr="00274551" w:rsidRDefault="00D710F5" w:rsidP="00623DB6">
            <w:pPr>
              <w:pStyle w:val="TableEntry"/>
            </w:pPr>
            <w:r w:rsidRPr="00274551">
              <w:lastRenderedPageBreak/>
              <w:t>Ministry of Commerce, Board of Investment, Federal Board of Revenue</w:t>
            </w:r>
            <w:r w:rsidR="007B21AD">
              <w:t xml:space="preserve">, Ministry of Finance, </w:t>
            </w:r>
            <w:r w:rsidR="008F4B65">
              <w:t>PGG Board</w:t>
            </w:r>
            <w:r w:rsidR="007B21AD">
              <w:t>,</w:t>
            </w:r>
            <w:r w:rsidRPr="00274551">
              <w:t xml:space="preserve"> and State Bank of Pakistan. </w:t>
            </w:r>
          </w:p>
        </w:tc>
        <w:tc>
          <w:tcPr>
            <w:tcW w:w="1390" w:type="dxa"/>
            <w:shd w:val="clear" w:color="auto" w:fill="auto"/>
          </w:tcPr>
          <w:p w14:paraId="57304A4E" w14:textId="77777777" w:rsidR="008D3F7E" w:rsidRDefault="008D3F7E" w:rsidP="008D3F7E">
            <w:pPr>
              <w:pStyle w:val="TableEntry"/>
            </w:pPr>
            <w:r>
              <w:t>Positive impact:  High (efficiency gains)</w:t>
            </w:r>
          </w:p>
          <w:p w14:paraId="729F64D4" w14:textId="77777777" w:rsidR="008D3F7E" w:rsidRDefault="008D3F7E" w:rsidP="008D3F7E">
            <w:pPr>
              <w:pStyle w:val="TableEntry"/>
            </w:pPr>
          </w:p>
          <w:p w14:paraId="67EC18B1" w14:textId="04E2C14F" w:rsidR="008D3F7E" w:rsidRDefault="008D3F7E" w:rsidP="008D3F7E">
            <w:pPr>
              <w:pStyle w:val="TableEntry"/>
            </w:pPr>
            <w:r>
              <w:t xml:space="preserve">Negative Impact:  Low </w:t>
            </w:r>
            <w:r w:rsidR="00792859">
              <w:t>or none</w:t>
            </w:r>
          </w:p>
          <w:p w14:paraId="3A711765" w14:textId="733BC638" w:rsidR="00D710F5" w:rsidRPr="00C949A6" w:rsidRDefault="00D710F5" w:rsidP="0095284D">
            <w:pPr>
              <w:pStyle w:val="TableEntry"/>
            </w:pPr>
          </w:p>
        </w:tc>
        <w:tc>
          <w:tcPr>
            <w:tcW w:w="1150" w:type="dxa"/>
            <w:shd w:val="clear" w:color="auto" w:fill="auto"/>
          </w:tcPr>
          <w:p w14:paraId="1F9B5090" w14:textId="77777777" w:rsidR="00D710F5" w:rsidRPr="00C949A6" w:rsidRDefault="00D710F5" w:rsidP="0095284D">
            <w:pPr>
              <w:pStyle w:val="TableEntry"/>
            </w:pPr>
            <w:r w:rsidRPr="00C949A6">
              <w:lastRenderedPageBreak/>
              <w:t>High</w:t>
            </w:r>
          </w:p>
        </w:tc>
      </w:tr>
      <w:tr w:rsidR="007B21AD" w:rsidRPr="004843DA" w14:paraId="42BCC690" w14:textId="77777777" w:rsidTr="0095284D">
        <w:trPr>
          <w:jc w:val="center"/>
        </w:trPr>
        <w:tc>
          <w:tcPr>
            <w:tcW w:w="2288" w:type="dxa"/>
            <w:shd w:val="clear" w:color="auto" w:fill="auto"/>
          </w:tcPr>
          <w:p w14:paraId="2B8333BD" w14:textId="6713CB9B" w:rsidR="007B21AD" w:rsidRDefault="00623DB6" w:rsidP="0095284D">
            <w:pPr>
              <w:pStyle w:val="TableEntry"/>
            </w:pPr>
            <w:r>
              <w:t xml:space="preserve">Component </w:t>
            </w:r>
            <w:r w:rsidR="00942111" w:rsidRPr="00942111">
              <w:t>2: Investing in export promotion infrastructure</w:t>
            </w:r>
          </w:p>
          <w:p w14:paraId="6364B3CC" w14:textId="77777777" w:rsidR="00942111" w:rsidRDefault="00942111" w:rsidP="0095284D">
            <w:pPr>
              <w:pStyle w:val="TableEntry"/>
            </w:pPr>
          </w:p>
          <w:p w14:paraId="3D2B1ED2" w14:textId="09ABD826" w:rsidR="0026205F" w:rsidRDefault="00160E7E" w:rsidP="0095284D">
            <w:pPr>
              <w:pStyle w:val="TableEntry"/>
            </w:pPr>
            <w:r>
              <w:t xml:space="preserve">Country branding campaign; modernizing trade diplomacy; </w:t>
            </w:r>
            <w:r w:rsidR="00623DB6">
              <w:t>export intelligence platform</w:t>
            </w:r>
          </w:p>
          <w:p w14:paraId="60BB980F" w14:textId="0788F09C" w:rsidR="00942111" w:rsidRPr="00C949A6" w:rsidRDefault="00942111" w:rsidP="0095284D">
            <w:pPr>
              <w:pStyle w:val="TableEntry"/>
            </w:pPr>
          </w:p>
        </w:tc>
        <w:tc>
          <w:tcPr>
            <w:tcW w:w="4527" w:type="dxa"/>
            <w:shd w:val="clear" w:color="auto" w:fill="auto"/>
          </w:tcPr>
          <w:p w14:paraId="17C564B3" w14:textId="03CF9D67" w:rsidR="007B21AD" w:rsidRPr="00274551" w:rsidRDefault="008F4B65" w:rsidP="00623DB6">
            <w:pPr>
              <w:pStyle w:val="TableEntry"/>
            </w:pPr>
            <w:r>
              <w:t>MOC</w:t>
            </w:r>
            <w:r w:rsidR="00160E7E">
              <w:t>, TDAP</w:t>
            </w:r>
          </w:p>
        </w:tc>
        <w:tc>
          <w:tcPr>
            <w:tcW w:w="1390" w:type="dxa"/>
            <w:shd w:val="clear" w:color="auto" w:fill="auto"/>
          </w:tcPr>
          <w:p w14:paraId="0AB4D410" w14:textId="1A7FDB04" w:rsidR="007B21AD" w:rsidRPr="00C949A6" w:rsidRDefault="00160E7E" w:rsidP="0095284D">
            <w:pPr>
              <w:pStyle w:val="TableEntry"/>
            </w:pPr>
            <w:r w:rsidRPr="00C949A6">
              <w:t>Positive impact:  High</w:t>
            </w:r>
          </w:p>
        </w:tc>
        <w:tc>
          <w:tcPr>
            <w:tcW w:w="1150" w:type="dxa"/>
            <w:shd w:val="clear" w:color="auto" w:fill="auto"/>
          </w:tcPr>
          <w:p w14:paraId="563823A8" w14:textId="314ED149" w:rsidR="007B21AD" w:rsidRPr="00C949A6" w:rsidRDefault="00160E7E" w:rsidP="0095284D">
            <w:pPr>
              <w:pStyle w:val="TableEntry"/>
            </w:pPr>
            <w:r>
              <w:t>High</w:t>
            </w:r>
          </w:p>
        </w:tc>
      </w:tr>
      <w:tr w:rsidR="00D710F5" w:rsidRPr="004843DA" w14:paraId="64254A8C" w14:textId="77777777" w:rsidTr="0095284D">
        <w:trPr>
          <w:jc w:val="center"/>
        </w:trPr>
        <w:tc>
          <w:tcPr>
            <w:tcW w:w="2288" w:type="dxa"/>
            <w:shd w:val="clear" w:color="auto" w:fill="auto"/>
          </w:tcPr>
          <w:p w14:paraId="442CD2B7" w14:textId="7EF621CA" w:rsidR="00D710F5" w:rsidRPr="00C949A6" w:rsidRDefault="00160E7E" w:rsidP="00623DB6">
            <w:pPr>
              <w:pStyle w:val="TableEntry"/>
            </w:pPr>
            <w:r>
              <w:t xml:space="preserve">Component </w:t>
            </w:r>
            <w:r w:rsidR="00623DB6">
              <w:t xml:space="preserve">3 </w:t>
            </w:r>
            <w:r w:rsidR="00D710F5">
              <w:t>-</w:t>
            </w:r>
            <w:r>
              <w:t xml:space="preserve"> </w:t>
            </w:r>
            <w:r w:rsidR="00623DB6" w:rsidRPr="0007057C">
              <w:t>Contingent Emergency Response Component (CERC)</w:t>
            </w:r>
          </w:p>
        </w:tc>
        <w:tc>
          <w:tcPr>
            <w:tcW w:w="4527" w:type="dxa"/>
            <w:shd w:val="clear" w:color="auto" w:fill="auto"/>
          </w:tcPr>
          <w:p w14:paraId="069C896E" w14:textId="66B9C349" w:rsidR="00D710F5" w:rsidRPr="00274551" w:rsidRDefault="008F4B65" w:rsidP="00623DB6">
            <w:pPr>
              <w:pStyle w:val="TableEntry"/>
            </w:pPr>
            <w:r>
              <w:t>MOC</w:t>
            </w:r>
            <w:r w:rsidR="004B5C38" w:rsidRPr="00C949A6">
              <w:t>, TDAP</w:t>
            </w:r>
          </w:p>
        </w:tc>
        <w:tc>
          <w:tcPr>
            <w:tcW w:w="1390" w:type="dxa"/>
            <w:shd w:val="clear" w:color="auto" w:fill="auto"/>
          </w:tcPr>
          <w:p w14:paraId="3E50F75C" w14:textId="5A61882E" w:rsidR="00D710F5" w:rsidRPr="00C949A6" w:rsidRDefault="004B5C38" w:rsidP="0095284D">
            <w:pPr>
              <w:pStyle w:val="TableEntry"/>
            </w:pPr>
            <w:r w:rsidRPr="00C949A6">
              <w:t>Positive Impact High</w:t>
            </w:r>
          </w:p>
        </w:tc>
        <w:tc>
          <w:tcPr>
            <w:tcW w:w="1150" w:type="dxa"/>
            <w:shd w:val="clear" w:color="auto" w:fill="auto"/>
          </w:tcPr>
          <w:p w14:paraId="432E5951" w14:textId="71AD3614" w:rsidR="00D710F5" w:rsidRPr="00C949A6" w:rsidRDefault="004B5C38" w:rsidP="0095284D">
            <w:pPr>
              <w:pStyle w:val="TableEntry"/>
            </w:pPr>
            <w:r>
              <w:t xml:space="preserve">High to </w:t>
            </w:r>
            <w:r w:rsidRPr="00C949A6">
              <w:t>Medium</w:t>
            </w:r>
          </w:p>
        </w:tc>
      </w:tr>
    </w:tbl>
    <w:p w14:paraId="059C4246" w14:textId="77777777" w:rsidR="00D710F5" w:rsidRDefault="00D710F5" w:rsidP="00D70AC2">
      <w:pPr>
        <w:pStyle w:val="Heading2"/>
      </w:pPr>
      <w:bookmarkStart w:id="43" w:name="_Toc430790365"/>
      <w:bookmarkStart w:id="44" w:name="_Toc436419357"/>
      <w:bookmarkStart w:id="45" w:name="_Toc452826923"/>
      <w:r>
        <w:t>Other Interested Parties</w:t>
      </w:r>
      <w:bookmarkEnd w:id="43"/>
      <w:bookmarkEnd w:id="44"/>
      <w:bookmarkEnd w:id="45"/>
    </w:p>
    <w:p w14:paraId="56A738EA" w14:textId="77777777" w:rsidR="00D710F5" w:rsidRPr="00651B32" w:rsidRDefault="00D710F5" w:rsidP="003E3DFE">
      <w:pPr>
        <w:pStyle w:val="BodyText"/>
        <w:jc w:val="both"/>
      </w:pPr>
      <w:r>
        <w:t xml:space="preserve">There can be other stakeholders who may be concerned with the project because it indirectly affects their work or has some bearing on it.  </w:t>
      </w:r>
      <w:r w:rsidRPr="00651B32">
        <w:t xml:space="preserve">As elucidated in ESS10, while these groups may not be directly affected by the project, there is a probability that these might have a role in the project at any stage in between, depending on the risks and </w:t>
      </w:r>
      <w:proofErr w:type="gramStart"/>
      <w:r w:rsidRPr="00651B32">
        <w:t>impacts in particular</w:t>
      </w:r>
      <w:proofErr w:type="gramEnd"/>
      <w:r w:rsidRPr="00651B32">
        <w:t xml:space="preserve">. Interested parties under this category </w:t>
      </w:r>
      <w:r>
        <w:t>have</w:t>
      </w:r>
      <w:r w:rsidRPr="00651B32">
        <w:t xml:space="preserve"> be</w:t>
      </w:r>
      <w:r>
        <w:t>en</w:t>
      </w:r>
      <w:r w:rsidRPr="00651B32">
        <w:t xml:space="preserve"> identified as:</w:t>
      </w:r>
    </w:p>
    <w:p w14:paraId="683F5FC4" w14:textId="77777777" w:rsidR="00D710F5" w:rsidRDefault="00D710F5" w:rsidP="003E3DFE">
      <w:pPr>
        <w:pStyle w:val="BodyText"/>
        <w:numPr>
          <w:ilvl w:val="0"/>
          <w:numId w:val="5"/>
        </w:numPr>
        <w:jc w:val="both"/>
      </w:pPr>
      <w:r w:rsidRPr="00F95018">
        <w:rPr>
          <w:i/>
        </w:rPr>
        <w:t>Ministry of Climate Change:</w:t>
      </w:r>
      <w:r>
        <w:t xml:space="preserve"> </w:t>
      </w:r>
    </w:p>
    <w:p w14:paraId="6249DE95" w14:textId="77261618" w:rsidR="00D710F5" w:rsidRPr="00630C48" w:rsidRDefault="00D710F5" w:rsidP="003E3DFE">
      <w:pPr>
        <w:pStyle w:val="BodyText"/>
        <w:jc w:val="both"/>
      </w:pPr>
      <w:r>
        <w:t>The Ministry w</w:t>
      </w:r>
      <w:r w:rsidRPr="00630C48">
        <w:t xml:space="preserve">ould be interested in the program, as there is </w:t>
      </w:r>
      <w:r w:rsidR="00DF1160">
        <w:t xml:space="preserve">some </w:t>
      </w:r>
      <w:r w:rsidRPr="00630C48">
        <w:t>potential of the generation of e-waste</w:t>
      </w:r>
      <w:r w:rsidR="00DF1160">
        <w:t>, although limited in magnitude</w:t>
      </w:r>
      <w:r w:rsidRPr="00630C48">
        <w:t>.</w:t>
      </w:r>
    </w:p>
    <w:p w14:paraId="46ECE80C" w14:textId="77777777" w:rsidR="00D710F5" w:rsidRDefault="00D710F5" w:rsidP="003E3DFE">
      <w:pPr>
        <w:pStyle w:val="BodyText"/>
        <w:numPr>
          <w:ilvl w:val="0"/>
          <w:numId w:val="5"/>
        </w:numPr>
        <w:jc w:val="both"/>
      </w:pPr>
      <w:r w:rsidRPr="00F95018">
        <w:rPr>
          <w:i/>
        </w:rPr>
        <w:t>Ministry of Law:</w:t>
      </w:r>
      <w:r>
        <w:t xml:space="preserve"> </w:t>
      </w:r>
    </w:p>
    <w:p w14:paraId="098F001C" w14:textId="2D74AA45" w:rsidR="00D710F5" w:rsidRPr="00630C48" w:rsidRDefault="00D710F5" w:rsidP="003E3DFE">
      <w:pPr>
        <w:pStyle w:val="BodyText"/>
        <w:jc w:val="both"/>
      </w:pPr>
      <w:r w:rsidRPr="00630C48">
        <w:t xml:space="preserve">Due to </w:t>
      </w:r>
      <w:r w:rsidR="00DF1160">
        <w:t>integration of business processes</w:t>
      </w:r>
      <w:r w:rsidRPr="00630C48">
        <w:t xml:space="preserve"> changes, Rules of Business </w:t>
      </w:r>
      <w:r w:rsidR="00DF1160">
        <w:t>may</w:t>
      </w:r>
      <w:r w:rsidRPr="00630C48">
        <w:t xml:space="preserve"> need to be amended, which would require inputs from the Ministry.  In addition, the Ministry would vet all actions or policy decisions to ensure that they do not violate existing legislation or service rules. </w:t>
      </w:r>
    </w:p>
    <w:p w14:paraId="4E03ED4A" w14:textId="77777777" w:rsidR="00D710F5" w:rsidRDefault="00D710F5" w:rsidP="003E3DFE">
      <w:pPr>
        <w:pStyle w:val="BodyText"/>
        <w:numPr>
          <w:ilvl w:val="0"/>
          <w:numId w:val="5"/>
        </w:numPr>
        <w:jc w:val="both"/>
        <w:rPr>
          <w:szCs w:val="26"/>
        </w:rPr>
      </w:pPr>
      <w:r w:rsidRPr="00544BEE">
        <w:rPr>
          <w:i/>
          <w:szCs w:val="26"/>
        </w:rPr>
        <w:t>Cabinet Division</w:t>
      </w:r>
      <w:r>
        <w:rPr>
          <w:szCs w:val="26"/>
        </w:rPr>
        <w:t xml:space="preserve">:  </w:t>
      </w:r>
    </w:p>
    <w:p w14:paraId="07B315CA" w14:textId="77777777" w:rsidR="00D710F5" w:rsidRDefault="00D710F5" w:rsidP="003E3DFE">
      <w:pPr>
        <w:pStyle w:val="BodyText"/>
        <w:jc w:val="both"/>
      </w:pPr>
      <w:r>
        <w:t xml:space="preserve">The Division will be responsible for getting policy approvals from the Cabinet for the proposed reforms. </w:t>
      </w:r>
    </w:p>
    <w:p w14:paraId="0935DFE3" w14:textId="77777777" w:rsidR="00D710F5" w:rsidRDefault="00D710F5" w:rsidP="003E3DFE">
      <w:pPr>
        <w:pStyle w:val="BodyText"/>
        <w:jc w:val="both"/>
      </w:pPr>
      <w:r>
        <w:lastRenderedPageBreak/>
        <w:t xml:space="preserve">This </w:t>
      </w:r>
      <w:r w:rsidRPr="00651B32">
        <w:t>SEP include</w:t>
      </w:r>
      <w:r>
        <w:t>s</w:t>
      </w:r>
      <w:r w:rsidRPr="00651B32">
        <w:t xml:space="preserve"> </w:t>
      </w:r>
      <w:r>
        <w:t xml:space="preserve">provisions for </w:t>
      </w:r>
      <w:r w:rsidRPr="00651B32">
        <w:t xml:space="preserve">conducting consultations with representatives of each of the </w:t>
      </w:r>
      <w:r>
        <w:t>above listed</w:t>
      </w:r>
      <w:r w:rsidRPr="00651B32">
        <w:t xml:space="preserve"> </w:t>
      </w:r>
      <w:proofErr w:type="gramStart"/>
      <w:r w:rsidRPr="00651B32">
        <w:t>groups</w:t>
      </w:r>
      <w:r>
        <w:t>,</w:t>
      </w:r>
      <w:r w:rsidRPr="00651B32">
        <w:t xml:space="preserve"> and</w:t>
      </w:r>
      <w:proofErr w:type="gramEnd"/>
      <w:r w:rsidRPr="00651B32">
        <w:t xml:space="preserve"> defin</w:t>
      </w:r>
      <w:r>
        <w:t>es</w:t>
      </w:r>
      <w:r w:rsidRPr="00651B32">
        <w:t xml:space="preserve"> a strategy for continual engagement with them throughout the project.</w:t>
      </w:r>
    </w:p>
    <w:p w14:paraId="72DAB8FD" w14:textId="77777777" w:rsidR="00D710F5" w:rsidRDefault="00D710F5" w:rsidP="00D710F5">
      <w:pPr>
        <w:pStyle w:val="BodyText"/>
      </w:pPr>
    </w:p>
    <w:p w14:paraId="4BF7C496" w14:textId="77777777" w:rsidR="00D710F5" w:rsidRDefault="00D710F5" w:rsidP="00D710F5">
      <w:pPr>
        <w:pStyle w:val="TableTitle"/>
      </w:pPr>
      <w:r>
        <w:t>Table 4.2: Other Interested Parties</w:t>
      </w:r>
    </w:p>
    <w:tbl>
      <w:tblPr>
        <w:tblW w:w="0" w:type="auto"/>
        <w:jc w:val="center"/>
        <w:tblBorders>
          <w:top w:val="single" w:sz="8" w:space="0" w:color="auto"/>
          <w:bottom w:val="single" w:sz="8" w:space="0" w:color="auto"/>
          <w:insideH w:val="dotted" w:sz="8" w:space="0" w:color="auto"/>
        </w:tblBorders>
        <w:tblCellMar>
          <w:left w:w="72" w:type="dxa"/>
          <w:right w:w="72" w:type="dxa"/>
        </w:tblCellMar>
        <w:tblLook w:val="04A0" w:firstRow="1" w:lastRow="0" w:firstColumn="1" w:lastColumn="0" w:noHBand="0" w:noVBand="1"/>
      </w:tblPr>
      <w:tblGrid>
        <w:gridCol w:w="2945"/>
        <w:gridCol w:w="5695"/>
      </w:tblGrid>
      <w:tr w:rsidR="00D710F5" w14:paraId="28680502" w14:textId="77777777" w:rsidTr="0094373D">
        <w:trPr>
          <w:tblHeader/>
          <w:jc w:val="center"/>
        </w:trPr>
        <w:tc>
          <w:tcPr>
            <w:tcW w:w="2992" w:type="dxa"/>
            <w:shd w:val="clear" w:color="auto" w:fill="auto"/>
          </w:tcPr>
          <w:p w14:paraId="7B3D7FF0" w14:textId="77777777" w:rsidR="00D710F5" w:rsidRPr="00141E01" w:rsidRDefault="00D710F5" w:rsidP="0095284D">
            <w:pPr>
              <w:pStyle w:val="TableHead"/>
              <w:suppressAutoHyphens/>
              <w:jc w:val="left"/>
              <w:rPr>
                <w:szCs w:val="18"/>
              </w:rPr>
            </w:pPr>
            <w:r w:rsidRPr="00141E01">
              <w:rPr>
                <w:szCs w:val="18"/>
              </w:rPr>
              <w:t>Other interested parties</w:t>
            </w:r>
          </w:p>
        </w:tc>
        <w:tc>
          <w:tcPr>
            <w:tcW w:w="5792" w:type="dxa"/>
            <w:shd w:val="clear" w:color="auto" w:fill="auto"/>
          </w:tcPr>
          <w:p w14:paraId="0162050A" w14:textId="77777777" w:rsidR="00D710F5" w:rsidRPr="00141E01" w:rsidRDefault="00D710F5" w:rsidP="0095284D">
            <w:pPr>
              <w:pStyle w:val="TableHead"/>
              <w:suppressAutoHyphens/>
              <w:jc w:val="left"/>
              <w:rPr>
                <w:szCs w:val="18"/>
              </w:rPr>
            </w:pPr>
            <w:r w:rsidRPr="00141E01">
              <w:rPr>
                <w:szCs w:val="18"/>
              </w:rPr>
              <w:t>Interest in the project</w:t>
            </w:r>
          </w:p>
        </w:tc>
      </w:tr>
      <w:tr w:rsidR="00D710F5" w14:paraId="3FCC2EC4" w14:textId="77777777" w:rsidTr="0094373D">
        <w:trPr>
          <w:jc w:val="center"/>
        </w:trPr>
        <w:tc>
          <w:tcPr>
            <w:tcW w:w="2992" w:type="dxa"/>
            <w:shd w:val="clear" w:color="auto" w:fill="auto"/>
          </w:tcPr>
          <w:p w14:paraId="3994F64B" w14:textId="77777777" w:rsidR="00D710F5" w:rsidRPr="00141E01" w:rsidRDefault="00D710F5" w:rsidP="0095284D">
            <w:pPr>
              <w:pStyle w:val="TableEntry"/>
              <w:suppressAutoHyphens/>
              <w:rPr>
                <w:rFonts w:cs="Arial"/>
                <w:sz w:val="20"/>
              </w:rPr>
            </w:pPr>
            <w:r w:rsidRPr="00141E01">
              <w:rPr>
                <w:rFonts w:cs="Arial"/>
                <w:sz w:val="20"/>
              </w:rPr>
              <w:t>Ministry of Climate Change</w:t>
            </w:r>
          </w:p>
        </w:tc>
        <w:tc>
          <w:tcPr>
            <w:tcW w:w="5792" w:type="dxa"/>
            <w:shd w:val="clear" w:color="auto" w:fill="auto"/>
          </w:tcPr>
          <w:p w14:paraId="22B9750D" w14:textId="77777777" w:rsidR="00D710F5" w:rsidRPr="00141E01" w:rsidRDefault="00D710F5" w:rsidP="0095284D">
            <w:pPr>
              <w:pStyle w:val="TableEntry"/>
              <w:suppressAutoHyphens/>
              <w:rPr>
                <w:rFonts w:cs="Arial"/>
                <w:sz w:val="20"/>
              </w:rPr>
            </w:pPr>
            <w:r w:rsidRPr="00141E01">
              <w:rPr>
                <w:rFonts w:cs="Arial"/>
                <w:sz w:val="20"/>
              </w:rPr>
              <w:t xml:space="preserve">Would be interested in the e-waste management and similar environmental concerns related to the proposed program. </w:t>
            </w:r>
          </w:p>
        </w:tc>
      </w:tr>
      <w:tr w:rsidR="00D710F5" w14:paraId="13EE7C14" w14:textId="77777777" w:rsidTr="0094373D">
        <w:trPr>
          <w:jc w:val="center"/>
        </w:trPr>
        <w:tc>
          <w:tcPr>
            <w:tcW w:w="2992" w:type="dxa"/>
            <w:shd w:val="clear" w:color="auto" w:fill="auto"/>
          </w:tcPr>
          <w:p w14:paraId="172AF424" w14:textId="77777777" w:rsidR="00D710F5" w:rsidRPr="00141E01" w:rsidRDefault="00D710F5" w:rsidP="0095284D">
            <w:pPr>
              <w:pStyle w:val="TableEntry"/>
              <w:suppressAutoHyphens/>
              <w:rPr>
                <w:rFonts w:cs="Arial"/>
                <w:sz w:val="20"/>
              </w:rPr>
            </w:pPr>
            <w:r w:rsidRPr="00141E01">
              <w:rPr>
                <w:rFonts w:cs="Arial"/>
                <w:sz w:val="20"/>
              </w:rPr>
              <w:t>Ministry of Law</w:t>
            </w:r>
          </w:p>
        </w:tc>
        <w:tc>
          <w:tcPr>
            <w:tcW w:w="5792" w:type="dxa"/>
            <w:shd w:val="clear" w:color="auto" w:fill="auto"/>
          </w:tcPr>
          <w:p w14:paraId="65E4C1DF" w14:textId="77777777" w:rsidR="00D710F5" w:rsidRPr="00141E01" w:rsidRDefault="00D710F5" w:rsidP="0095284D">
            <w:pPr>
              <w:pStyle w:val="TableEntry"/>
              <w:suppressAutoHyphens/>
              <w:rPr>
                <w:rFonts w:cs="Arial"/>
                <w:sz w:val="20"/>
              </w:rPr>
            </w:pPr>
            <w:r w:rsidRPr="00141E01">
              <w:rPr>
                <w:rFonts w:cs="Arial"/>
                <w:sz w:val="20"/>
              </w:rPr>
              <w:t xml:space="preserve">Ministry of Law and Justice would be involved in providing legal opinions, on the implementation of the project. It would ensure that no actions or policy decisions are taken which are against the law and the laid down rules of business. </w:t>
            </w:r>
          </w:p>
        </w:tc>
      </w:tr>
      <w:tr w:rsidR="00D710F5" w14:paraId="574B1BD3" w14:textId="77777777" w:rsidTr="0094373D">
        <w:trPr>
          <w:jc w:val="center"/>
        </w:trPr>
        <w:tc>
          <w:tcPr>
            <w:tcW w:w="2992" w:type="dxa"/>
            <w:shd w:val="clear" w:color="auto" w:fill="auto"/>
          </w:tcPr>
          <w:p w14:paraId="3F1ACC9A" w14:textId="77777777" w:rsidR="00D710F5" w:rsidRPr="00141E01" w:rsidRDefault="00D710F5" w:rsidP="0095284D">
            <w:pPr>
              <w:pStyle w:val="TableEntry"/>
              <w:suppressAutoHyphens/>
              <w:rPr>
                <w:rFonts w:cs="Arial"/>
                <w:sz w:val="20"/>
              </w:rPr>
            </w:pPr>
            <w:r w:rsidRPr="00141E01">
              <w:rPr>
                <w:rFonts w:cs="Arial"/>
                <w:sz w:val="20"/>
              </w:rPr>
              <w:t>Cabinet Division</w:t>
            </w:r>
          </w:p>
        </w:tc>
        <w:tc>
          <w:tcPr>
            <w:tcW w:w="5792" w:type="dxa"/>
            <w:shd w:val="clear" w:color="auto" w:fill="auto"/>
          </w:tcPr>
          <w:p w14:paraId="022818C6" w14:textId="77777777" w:rsidR="00D710F5" w:rsidRPr="00141E01" w:rsidRDefault="00D710F5" w:rsidP="0095284D">
            <w:pPr>
              <w:pStyle w:val="TableEntry"/>
              <w:suppressAutoHyphens/>
              <w:rPr>
                <w:rFonts w:cs="Arial"/>
                <w:sz w:val="20"/>
              </w:rPr>
            </w:pPr>
            <w:r w:rsidRPr="00141E01">
              <w:rPr>
                <w:rFonts w:cs="Arial"/>
                <w:sz w:val="20"/>
              </w:rPr>
              <w:t xml:space="preserve">Would be responsible for taking forward and getting approvals on various policy decisions from the Cabinet. </w:t>
            </w:r>
          </w:p>
        </w:tc>
      </w:tr>
    </w:tbl>
    <w:p w14:paraId="4192C1AE" w14:textId="77777777" w:rsidR="00D710F5" w:rsidRDefault="00D710F5" w:rsidP="00D710F5">
      <w:pPr>
        <w:spacing w:after="0" w:line="360" w:lineRule="auto"/>
        <w:jc w:val="both"/>
      </w:pPr>
    </w:p>
    <w:p w14:paraId="361D03E8" w14:textId="77777777" w:rsidR="00D710F5" w:rsidRDefault="00D710F5" w:rsidP="00D70AC2">
      <w:pPr>
        <w:pStyle w:val="Heading2"/>
      </w:pPr>
      <w:bookmarkStart w:id="46" w:name="_Toc430790366"/>
      <w:bookmarkStart w:id="47" w:name="_Toc436419358"/>
      <w:bookmarkStart w:id="48" w:name="_Toc452826924"/>
      <w:r>
        <w:t>Disadvantaged / Vulnerable Individuals or Groups</w:t>
      </w:r>
      <w:bookmarkEnd w:id="46"/>
      <w:bookmarkEnd w:id="47"/>
      <w:bookmarkEnd w:id="48"/>
    </w:p>
    <w:p w14:paraId="122BB101" w14:textId="4B7CC423" w:rsidR="00D710F5" w:rsidRDefault="00D710F5" w:rsidP="003E3DFE">
      <w:pPr>
        <w:pStyle w:val="BodyText"/>
        <w:jc w:val="both"/>
      </w:pPr>
      <w:r w:rsidRPr="00D05D4B">
        <w:t xml:space="preserve">As per ESS10, it is particularly important to understand </w:t>
      </w:r>
      <w:r>
        <w:t xml:space="preserve">project impacts and </w:t>
      </w:r>
      <w:r w:rsidR="00AD2CB2">
        <w:t xml:space="preserve">benefits in the context of </w:t>
      </w:r>
      <w:r w:rsidRPr="00D05D4B">
        <w:t>disadvantaged or vulnerable individuals or groups</w:t>
      </w:r>
      <w:r>
        <w:t xml:space="preserve">. The Guidance Note for Standard 10 describes the barriers that can potentially exist for the vulnerable groups, which can include </w:t>
      </w:r>
      <w:r w:rsidRPr="007D062A">
        <w:rPr>
          <w:lang w:val="en-GB" w:eastAsia="en-GB"/>
        </w:rPr>
        <w:t>socio-political, societal conflict, educational, or practical factors.</w:t>
      </w:r>
      <w:r>
        <w:t xml:space="preserve"> </w:t>
      </w:r>
    </w:p>
    <w:p w14:paraId="31321F0C" w14:textId="2E5E580F" w:rsidR="00D710F5" w:rsidRDefault="00BC760F" w:rsidP="003E3DFE">
      <w:pPr>
        <w:pStyle w:val="BodyText"/>
        <w:jc w:val="both"/>
      </w:pPr>
      <w:r>
        <w:t>The participation of women and other vulnerable group business owners was not satisfactory in the two consultations held during project preparation</w:t>
      </w:r>
      <w:r w:rsidR="00683A35">
        <w:t xml:space="preserve"> in Karachi and Sialkot</w:t>
      </w:r>
      <w:r w:rsidR="00D710F5">
        <w:t>.</w:t>
      </w:r>
      <w:r w:rsidR="00683A35">
        <w:t xml:space="preserve"> A woman entrepreneur attended </w:t>
      </w:r>
      <w:r w:rsidR="002A69EB">
        <w:t xml:space="preserve">the Karachi consultation and her suggestion was to </w:t>
      </w:r>
      <w:r w:rsidR="00756AE4">
        <w:t xml:space="preserve">create an online </w:t>
      </w:r>
      <w:r w:rsidR="008649DF">
        <w:t xml:space="preserve">sales </w:t>
      </w:r>
      <w:r w:rsidR="00756AE4">
        <w:t>platform</w:t>
      </w:r>
      <w:r w:rsidR="008649DF">
        <w:t xml:space="preserve">, and to reach out to more women-owned businesses. </w:t>
      </w:r>
      <w:r w:rsidR="00511D6B">
        <w:t xml:space="preserve">Going forward, the Project will prepare a consolidated database of women and minority-owned businesses </w:t>
      </w:r>
      <w:r w:rsidR="005D3884">
        <w:t>in relation to specific project activities,</w:t>
      </w:r>
      <w:r w:rsidR="003849C6">
        <w:t xml:space="preserve"> such as for example, participation in Trade Fairs</w:t>
      </w:r>
      <w:r w:rsidR="00700F00">
        <w:t xml:space="preserve"> and registration </w:t>
      </w:r>
      <w:r w:rsidR="00C4179A">
        <w:t xml:space="preserve">in the </w:t>
      </w:r>
      <w:r w:rsidR="00C4179A" w:rsidRPr="00C4179A">
        <w:t>export intelligence portal which will connect global buyers with local sellers</w:t>
      </w:r>
      <w:r w:rsidR="003849C6">
        <w:t xml:space="preserve">, </w:t>
      </w:r>
      <w:r w:rsidR="005D3884">
        <w:t xml:space="preserve">so as to be able to do </w:t>
      </w:r>
      <w:r w:rsidR="008F61EC">
        <w:t>effective outreach and consultations with them.</w:t>
      </w:r>
      <w:r w:rsidR="00756AE4">
        <w:t xml:space="preserve"> </w:t>
      </w:r>
      <w:r w:rsidR="002A69EB">
        <w:t xml:space="preserve"> </w:t>
      </w:r>
    </w:p>
    <w:p w14:paraId="1DBD6697" w14:textId="77777777" w:rsidR="00D710F5" w:rsidRDefault="00D710F5" w:rsidP="00D710F5">
      <w:pPr>
        <w:pStyle w:val="Heading1"/>
      </w:pPr>
      <w:bookmarkStart w:id="49" w:name="_Toc17966124"/>
      <w:bookmarkStart w:id="50" w:name="_Toc436419359"/>
      <w:bookmarkStart w:id="51" w:name="_Toc452826925"/>
      <w:bookmarkStart w:id="52" w:name="_Toc430790367"/>
      <w:r w:rsidRPr="00AD539C">
        <w:t>Stakeholder Engagement Program</w:t>
      </w:r>
      <w:bookmarkEnd w:id="49"/>
      <w:bookmarkEnd w:id="50"/>
      <w:bookmarkEnd w:id="51"/>
      <w:r>
        <w:t xml:space="preserve"> </w:t>
      </w:r>
      <w:bookmarkEnd w:id="52"/>
    </w:p>
    <w:p w14:paraId="06157990" w14:textId="52AB535C" w:rsidR="00D710F5" w:rsidRDefault="00D710F5" w:rsidP="003E3DFE">
      <w:pPr>
        <w:pStyle w:val="BodyText"/>
        <w:jc w:val="both"/>
      </w:pPr>
      <w:r>
        <w:t xml:space="preserve">The approach for the stakeholder engagement program is underscored by three elements: belief in the </w:t>
      </w:r>
      <w:r w:rsidR="00792859">
        <w:t xml:space="preserve">strength </w:t>
      </w:r>
      <w:r>
        <w:t xml:space="preserve">of qualitative data, commitment to participatory methods, and flexible response methods. An inclusive and participatory approach will be followed by taking the main characteristics and interests of the stakeholders into account, as well as the different levels of engagement, and consultation that will be appropriate for different stakeholders.  In general, engagement will be directly proportionate to impact and influence of a stakeholder. As the extent of impact of a project on a stakeholder group increases, engagement with that </w:t>
      </w:r>
      <w:proofErr w:type="gramStart"/>
      <w:r>
        <w:t>particular stakeholder</w:t>
      </w:r>
      <w:proofErr w:type="gramEnd"/>
      <w:r>
        <w:t xml:space="preserve"> group should intensify and deepen in terms of the frequency and the </w:t>
      </w:r>
      <w:r>
        <w:lastRenderedPageBreak/>
        <w:t>intensity of the engagement method used. The different combinations of influence and importance that a stakeholder may exercise are elucidated in the figure below:</w:t>
      </w:r>
    </w:p>
    <w:p w14:paraId="2FE2AE1F" w14:textId="77777777" w:rsidR="00D710F5" w:rsidRDefault="00D710F5" w:rsidP="00D710F5">
      <w:pPr>
        <w:pStyle w:val="TableTitle"/>
      </w:pPr>
      <w:r>
        <w:t>Figure 5.1:  Stakeholder Influence and Importance</w:t>
      </w:r>
    </w:p>
    <w:p w14:paraId="263EA106" w14:textId="77777777" w:rsidR="00D710F5" w:rsidRDefault="00D710F5" w:rsidP="00D710F5">
      <w:pPr>
        <w:pStyle w:val="BodyText"/>
      </w:pPr>
    </w:p>
    <w:tbl>
      <w:tblPr>
        <w:tblW w:w="0" w:type="auto"/>
        <w:jc w:val="center"/>
        <w:tblBorders>
          <w:top w:val="single" w:sz="8" w:space="0" w:color="auto"/>
          <w:bottom w:val="single" w:sz="8" w:space="0" w:color="auto"/>
          <w:insideH w:val="dotted" w:sz="8" w:space="0" w:color="auto"/>
        </w:tblBorders>
        <w:tblLayout w:type="fixed"/>
        <w:tblCellMar>
          <w:left w:w="72" w:type="dxa"/>
          <w:right w:w="72" w:type="dxa"/>
        </w:tblCellMar>
        <w:tblLook w:val="04A0" w:firstRow="1" w:lastRow="0" w:firstColumn="1" w:lastColumn="0" w:noHBand="0" w:noVBand="1"/>
      </w:tblPr>
      <w:tblGrid>
        <w:gridCol w:w="1751"/>
        <w:gridCol w:w="3469"/>
        <w:gridCol w:w="4428"/>
      </w:tblGrid>
      <w:tr w:rsidR="00D710F5" w:rsidRPr="00495869" w14:paraId="4FE0AE64" w14:textId="77777777" w:rsidTr="0095284D">
        <w:trPr>
          <w:jc w:val="center"/>
        </w:trPr>
        <w:tc>
          <w:tcPr>
            <w:tcW w:w="1751" w:type="dxa"/>
            <w:tcBorders>
              <w:top w:val="single" w:sz="4" w:space="0" w:color="FFFFFF"/>
              <w:left w:val="single" w:sz="4" w:space="0" w:color="FFFFFF"/>
              <w:bottom w:val="single" w:sz="4" w:space="0" w:color="FFFFFF"/>
              <w:right w:val="single" w:sz="4" w:space="0" w:color="FFFFFF"/>
            </w:tcBorders>
            <w:shd w:val="clear" w:color="auto" w:fill="auto"/>
          </w:tcPr>
          <w:p w14:paraId="4BB41AC7" w14:textId="77777777" w:rsidR="00D710F5" w:rsidRPr="00306C36" w:rsidRDefault="00D710F5" w:rsidP="0095284D">
            <w:pPr>
              <w:suppressAutoHyphens/>
              <w:spacing w:before="40"/>
              <w:jc w:val="both"/>
              <w:rPr>
                <w:rFonts w:ascii="Arial" w:eastAsia="Times New Roman" w:hAnsi="Arial"/>
                <w:sz w:val="18"/>
                <w:szCs w:val="18"/>
              </w:rPr>
            </w:pPr>
          </w:p>
        </w:tc>
        <w:tc>
          <w:tcPr>
            <w:tcW w:w="7897" w:type="dxa"/>
            <w:gridSpan w:val="2"/>
            <w:tcBorders>
              <w:top w:val="single" w:sz="4" w:space="0" w:color="FFFFFF"/>
              <w:left w:val="single" w:sz="4" w:space="0" w:color="FFFFFF"/>
              <w:right w:val="single" w:sz="4" w:space="0" w:color="FFFFFF"/>
            </w:tcBorders>
            <w:shd w:val="clear" w:color="auto" w:fill="auto"/>
          </w:tcPr>
          <w:p w14:paraId="57741597" w14:textId="77777777" w:rsidR="00D710F5" w:rsidRPr="00306C36" w:rsidRDefault="00D710F5" w:rsidP="0095284D">
            <w:pPr>
              <w:suppressAutoHyphens/>
              <w:spacing w:before="40"/>
              <w:jc w:val="both"/>
              <w:rPr>
                <w:rFonts w:ascii="Arial" w:eastAsia="Times New Roman" w:hAnsi="Arial"/>
                <w:b/>
                <w:sz w:val="18"/>
                <w:szCs w:val="18"/>
              </w:rPr>
            </w:pPr>
            <w:r w:rsidRPr="00306C36">
              <w:rPr>
                <w:rFonts w:ascii="Arial" w:eastAsia="Times New Roman" w:hAnsi="Arial"/>
                <w:b/>
                <w:sz w:val="18"/>
                <w:szCs w:val="18"/>
              </w:rPr>
              <w:t>DEGREE OF INFLUENCE</w:t>
            </w:r>
          </w:p>
          <w:p w14:paraId="1B6D1EC5" w14:textId="56999C04" w:rsidR="00D710F5" w:rsidRPr="00306C36" w:rsidRDefault="00D710F5" w:rsidP="0095284D">
            <w:pPr>
              <w:suppressAutoHyphens/>
              <w:spacing w:before="40"/>
              <w:jc w:val="both"/>
              <w:rPr>
                <w:rFonts w:ascii="Arial" w:eastAsia="Times New Roman" w:hAnsi="Arial"/>
                <w:b/>
                <w:sz w:val="18"/>
                <w:szCs w:val="18"/>
              </w:rPr>
            </w:pPr>
            <w:r>
              <w:rPr>
                <w:noProof/>
              </w:rPr>
              <mc:AlternateContent>
                <mc:Choice Requires="wps">
                  <w:drawing>
                    <wp:anchor distT="4294967282" distB="4294967282" distL="114300" distR="114300" simplePos="0" relativeHeight="251658241" behindDoc="0" locked="0" layoutInCell="1" allowOverlap="1" wp14:anchorId="5CD7F8BB" wp14:editId="1481E778">
                      <wp:simplePos x="0" y="0"/>
                      <wp:positionH relativeFrom="column">
                        <wp:posOffset>771525</wp:posOffset>
                      </wp:positionH>
                      <wp:positionV relativeFrom="paragraph">
                        <wp:posOffset>87629</wp:posOffset>
                      </wp:positionV>
                      <wp:extent cx="3581400" cy="0"/>
                      <wp:effectExtent l="25400" t="76200" r="0" b="101600"/>
                      <wp:wrapNone/>
                      <wp:docPr id="2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814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type w14:anchorId="7EFBF0B8" id="_x0000_t32" coordsize="21600,21600" o:spt="32" o:oned="t" path="m,l21600,21600e" filled="f">
                      <v:path arrowok="t" fillok="f" o:connecttype="none"/>
                      <o:lock v:ext="edit" shapetype="t"/>
                    </v:shapetype>
                    <v:shape id="Straight Arrow Connector 3" o:spid="_x0000_s1026" type="#_x0000_t32" style="position:absolute;margin-left:60.75pt;margin-top:6.9pt;width:282pt;height:0;flip:x;z-index:251659776;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" strokecolor="windowText" strokeweight=".5pt">
                      <v:stroke endarrow="block" joinstyle="miter"/>
                      <o:lock v:ext="edit" shapetype="f"/>
                    </v:shape>
                  </w:pict>
                </mc:Fallback>
              </mc:AlternateContent>
            </w:r>
          </w:p>
          <w:p w14:paraId="44422809" w14:textId="77777777" w:rsidR="00D710F5" w:rsidRPr="00306C36" w:rsidRDefault="00D710F5" w:rsidP="0095284D">
            <w:pPr>
              <w:suppressAutoHyphens/>
              <w:spacing w:before="40"/>
              <w:jc w:val="both"/>
              <w:rPr>
                <w:rFonts w:ascii="Arial" w:eastAsia="Times New Roman" w:hAnsi="Arial"/>
                <w:b/>
                <w:sz w:val="18"/>
                <w:szCs w:val="18"/>
              </w:rPr>
            </w:pPr>
            <w:r w:rsidRPr="00306C36">
              <w:rPr>
                <w:rFonts w:ascii="Arial" w:eastAsia="Times New Roman" w:hAnsi="Arial"/>
                <w:b/>
                <w:sz w:val="18"/>
                <w:szCs w:val="18"/>
              </w:rPr>
              <w:t>High influence                                                                                  Low influence</w:t>
            </w:r>
          </w:p>
          <w:p w14:paraId="3906AB26" w14:textId="77777777" w:rsidR="00D710F5" w:rsidRPr="00306C36" w:rsidRDefault="00D710F5" w:rsidP="0095284D">
            <w:pPr>
              <w:suppressAutoHyphens/>
              <w:spacing w:before="40"/>
              <w:jc w:val="both"/>
              <w:rPr>
                <w:rFonts w:ascii="Arial" w:eastAsia="Times New Roman" w:hAnsi="Arial"/>
                <w:b/>
                <w:sz w:val="18"/>
                <w:szCs w:val="18"/>
              </w:rPr>
            </w:pPr>
          </w:p>
        </w:tc>
      </w:tr>
      <w:tr w:rsidR="00D710F5" w:rsidRPr="00495869" w14:paraId="1CCA6F90" w14:textId="77777777" w:rsidTr="0095284D">
        <w:trPr>
          <w:jc w:val="center"/>
        </w:trPr>
        <w:tc>
          <w:tcPr>
            <w:tcW w:w="1751" w:type="dxa"/>
            <w:vMerge w:val="restart"/>
            <w:tcBorders>
              <w:top w:val="single" w:sz="4" w:space="0" w:color="FFFFFF"/>
              <w:left w:val="single" w:sz="4" w:space="0" w:color="FFFFFF"/>
            </w:tcBorders>
            <w:shd w:val="clear" w:color="auto" w:fill="auto"/>
            <w:textDirection w:val="btLr"/>
          </w:tcPr>
          <w:p w14:paraId="798F0725" w14:textId="77777777" w:rsidR="00D710F5" w:rsidRPr="00306C36" w:rsidRDefault="00D710F5" w:rsidP="0095284D">
            <w:pPr>
              <w:suppressAutoHyphens/>
              <w:spacing w:before="40"/>
              <w:ind w:left="113" w:right="113"/>
              <w:jc w:val="both"/>
              <w:rPr>
                <w:rFonts w:ascii="Arial" w:eastAsia="Times New Roman" w:hAnsi="Arial"/>
                <w:b/>
                <w:sz w:val="18"/>
                <w:szCs w:val="18"/>
              </w:rPr>
            </w:pPr>
            <w:r w:rsidRPr="00306C36">
              <w:rPr>
                <w:rFonts w:ascii="Arial" w:eastAsia="Times New Roman" w:hAnsi="Arial"/>
                <w:b/>
                <w:sz w:val="18"/>
                <w:szCs w:val="18"/>
              </w:rPr>
              <w:t>DEGREE OF IMPORTANCE</w:t>
            </w:r>
          </w:p>
          <w:p w14:paraId="7F1207F4" w14:textId="77777777" w:rsidR="00D710F5" w:rsidRPr="00306C36" w:rsidRDefault="00D710F5" w:rsidP="0095284D">
            <w:pPr>
              <w:suppressAutoHyphens/>
              <w:spacing w:before="40"/>
              <w:ind w:left="113" w:right="113"/>
              <w:jc w:val="both"/>
              <w:rPr>
                <w:rFonts w:ascii="Arial" w:eastAsia="Times New Roman" w:hAnsi="Arial"/>
                <w:b/>
                <w:sz w:val="18"/>
                <w:szCs w:val="18"/>
              </w:rPr>
            </w:pPr>
          </w:p>
          <w:p w14:paraId="71C82309" w14:textId="0DE39204" w:rsidR="00D710F5" w:rsidRPr="00306C36" w:rsidRDefault="00D710F5" w:rsidP="0095284D">
            <w:pPr>
              <w:suppressAutoHyphens/>
              <w:spacing w:before="40"/>
              <w:ind w:left="113" w:right="113"/>
              <w:jc w:val="both"/>
              <w:rPr>
                <w:rFonts w:ascii="Arial" w:eastAsia="Times New Roman" w:hAnsi="Arial"/>
                <w:b/>
                <w:sz w:val="18"/>
                <w:szCs w:val="18"/>
                <w:highlight w:val="yellow"/>
              </w:rPr>
            </w:pPr>
            <w:r>
              <w:rPr>
                <w:noProof/>
              </w:rPr>
              <mc:AlternateContent>
                <mc:Choice Requires="wps">
                  <w:drawing>
                    <wp:anchor distT="0" distB="0" distL="114300" distR="114300" simplePos="0" relativeHeight="251658242" behindDoc="0" locked="0" layoutInCell="1" allowOverlap="1" wp14:anchorId="646E02EF" wp14:editId="0B7E788E">
                      <wp:simplePos x="0" y="0"/>
                      <wp:positionH relativeFrom="column">
                        <wp:posOffset>-120015</wp:posOffset>
                      </wp:positionH>
                      <wp:positionV relativeFrom="paragraph">
                        <wp:posOffset>-2233295</wp:posOffset>
                      </wp:positionV>
                      <wp:extent cx="45720" cy="2127250"/>
                      <wp:effectExtent l="50800" t="50800" r="81280" b="31750"/>
                      <wp:wrapNone/>
                      <wp:docPr id="2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 cy="21272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shape w14:anchorId="287E73E6" id="Straight Arrow Connector 4" o:spid="_x0000_s1026" type="#_x0000_t32" style="position:absolute;margin-left:-9.45pt;margin-top:-175.85pt;width:3.6pt;height:167.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" strokecolor="windowText" strokeweight=".5pt">
                      <v:stroke endarrow="block" joinstyle="miter"/>
                      <o:lock v:ext="edit" shapetype="f"/>
                    </v:shape>
                  </w:pict>
                </mc:Fallback>
              </mc:AlternateContent>
            </w:r>
            <w:r w:rsidRPr="00306C36">
              <w:rPr>
                <w:rFonts w:ascii="Arial" w:eastAsia="Times New Roman" w:hAnsi="Arial"/>
                <w:b/>
                <w:sz w:val="18"/>
                <w:szCs w:val="18"/>
              </w:rPr>
              <w:t xml:space="preserve">Low Importance   High Importance                           </w:t>
            </w:r>
          </w:p>
        </w:tc>
        <w:tc>
          <w:tcPr>
            <w:tcW w:w="3469" w:type="dxa"/>
            <w:shd w:val="clear" w:color="auto" w:fill="auto"/>
          </w:tcPr>
          <w:p w14:paraId="25F4F2CD" w14:textId="77777777" w:rsidR="00D710F5" w:rsidRPr="00306C36" w:rsidRDefault="00D710F5" w:rsidP="0095284D">
            <w:pPr>
              <w:pStyle w:val="TableEntry"/>
            </w:pPr>
            <w:r w:rsidRPr="00306C36">
              <w:t>Box A: Stakeholders who stand to lose or gain significantly from the project AND whose actions can affect the project’s ability to meet its objectives</w:t>
            </w:r>
          </w:p>
        </w:tc>
        <w:tc>
          <w:tcPr>
            <w:tcW w:w="4428" w:type="dxa"/>
            <w:shd w:val="clear" w:color="auto" w:fill="auto"/>
          </w:tcPr>
          <w:p w14:paraId="411376EB" w14:textId="77777777" w:rsidR="00D710F5" w:rsidRPr="00306C36" w:rsidRDefault="00D710F5" w:rsidP="0095284D">
            <w:pPr>
              <w:pStyle w:val="TableEntry"/>
            </w:pPr>
            <w:r w:rsidRPr="00306C36">
              <w:t>Box B:  Stakeholders who stand to lose or gain significantly from the project B UT whose actions cannot affect the project</w:t>
            </w:r>
            <w:r w:rsidRPr="00306C36">
              <w:rPr>
                <w:rFonts w:ascii="Calibri" w:hAnsi="Calibri" w:cs="Calibri"/>
              </w:rPr>
              <w:t>’</w:t>
            </w:r>
            <w:r w:rsidRPr="00306C36">
              <w:t>s ability to meet its objectives</w:t>
            </w:r>
          </w:p>
          <w:p w14:paraId="22C5E40C" w14:textId="77777777" w:rsidR="00D710F5" w:rsidRPr="00306C36" w:rsidRDefault="00D710F5" w:rsidP="0095284D">
            <w:pPr>
              <w:pStyle w:val="TableEntry"/>
            </w:pPr>
          </w:p>
        </w:tc>
      </w:tr>
      <w:tr w:rsidR="00D710F5" w:rsidRPr="00495869" w14:paraId="13752117" w14:textId="77777777" w:rsidTr="0095284D">
        <w:trPr>
          <w:trHeight w:val="1754"/>
          <w:jc w:val="center"/>
        </w:trPr>
        <w:tc>
          <w:tcPr>
            <w:tcW w:w="1751" w:type="dxa"/>
            <w:vMerge/>
            <w:tcBorders>
              <w:left w:val="single" w:sz="4" w:space="0" w:color="FFFFFF"/>
              <w:bottom w:val="single" w:sz="4" w:space="0" w:color="FFFFFF"/>
            </w:tcBorders>
            <w:shd w:val="clear" w:color="auto" w:fill="auto"/>
          </w:tcPr>
          <w:p w14:paraId="1D269A91" w14:textId="77777777" w:rsidR="00D710F5" w:rsidRPr="00306C36" w:rsidRDefault="00D710F5" w:rsidP="0095284D">
            <w:pPr>
              <w:suppressAutoHyphens/>
              <w:spacing w:before="40"/>
              <w:jc w:val="both"/>
              <w:rPr>
                <w:rFonts w:ascii="Arial" w:eastAsia="Times New Roman" w:hAnsi="Arial"/>
                <w:sz w:val="18"/>
                <w:szCs w:val="18"/>
                <w:highlight w:val="yellow"/>
              </w:rPr>
            </w:pPr>
          </w:p>
        </w:tc>
        <w:tc>
          <w:tcPr>
            <w:tcW w:w="3469" w:type="dxa"/>
            <w:shd w:val="clear" w:color="auto" w:fill="auto"/>
          </w:tcPr>
          <w:p w14:paraId="6D046971" w14:textId="77777777" w:rsidR="00D710F5" w:rsidRPr="00306C36" w:rsidRDefault="00D710F5" w:rsidP="0095284D">
            <w:pPr>
              <w:pStyle w:val="TableEntry"/>
            </w:pPr>
            <w:r w:rsidRPr="00306C36">
              <w:t>Box C: Stakeholders whose actions can affect the project</w:t>
            </w:r>
            <w:r w:rsidRPr="00306C36">
              <w:rPr>
                <w:rFonts w:ascii="Calibri" w:hAnsi="Calibri" w:cs="Calibri"/>
              </w:rPr>
              <w:t>’</w:t>
            </w:r>
            <w:r w:rsidRPr="00306C36">
              <w:t>s ability to meet its objectives BUT who do not stand to lose or gain much from the project</w:t>
            </w:r>
          </w:p>
        </w:tc>
        <w:tc>
          <w:tcPr>
            <w:tcW w:w="4428" w:type="dxa"/>
            <w:shd w:val="clear" w:color="auto" w:fill="auto"/>
          </w:tcPr>
          <w:p w14:paraId="5D4DF9CD" w14:textId="77777777" w:rsidR="00D710F5" w:rsidRPr="00306C36" w:rsidRDefault="00D710F5" w:rsidP="0095284D">
            <w:pPr>
              <w:pStyle w:val="TableEntry"/>
            </w:pPr>
            <w:r w:rsidRPr="00306C36">
              <w:t>Box D:</w:t>
            </w:r>
            <w:r w:rsidRPr="00306C36">
              <w:rPr>
                <w:rFonts w:ascii="Tahoma" w:hAnsi="Tahoma" w:cs="Tahoma"/>
              </w:rPr>
              <w:t xml:space="preserve">  </w:t>
            </w:r>
            <w:r w:rsidRPr="00306C36">
              <w:t>Stakeholders who do not stand to lose or gain much from the project AND whose actions cannot affect the project’s ability to meet its objectives</w:t>
            </w:r>
          </w:p>
        </w:tc>
      </w:tr>
    </w:tbl>
    <w:p w14:paraId="0F832D40" w14:textId="77777777" w:rsidR="00D710F5" w:rsidRDefault="00D710F5" w:rsidP="00D710F5">
      <w:pPr>
        <w:pStyle w:val="BodyText"/>
      </w:pPr>
    </w:p>
    <w:p w14:paraId="366BA513" w14:textId="77777777" w:rsidR="00D710F5" w:rsidRDefault="00D710F5" w:rsidP="00D70AC2">
      <w:pPr>
        <w:pStyle w:val="Heading2"/>
        <w:rPr>
          <w:rFonts w:ascii="Calibri" w:eastAsia="Calibri" w:hAnsi="Calibri"/>
          <w:color w:val="000000"/>
          <w:szCs w:val="22"/>
        </w:rPr>
      </w:pPr>
      <w:bookmarkStart w:id="53" w:name="_Toc430790368"/>
      <w:bookmarkStart w:id="54" w:name="_Toc436419360"/>
      <w:bookmarkStart w:id="55" w:name="_Toc452826926"/>
      <w:r>
        <w:t>Purpose and Timing of Stakeholder Engagement P</w:t>
      </w:r>
      <w:r w:rsidRPr="00972088">
        <w:t>rogram</w:t>
      </w:r>
      <w:bookmarkEnd w:id="53"/>
      <w:bookmarkEnd w:id="54"/>
      <w:bookmarkEnd w:id="55"/>
    </w:p>
    <w:p w14:paraId="5AA8A5EA" w14:textId="1B756E8F" w:rsidR="00D710F5" w:rsidRDefault="00D710F5" w:rsidP="003E3DFE">
      <w:pPr>
        <w:pStyle w:val="BodyText"/>
        <w:jc w:val="both"/>
        <w:rPr>
          <w:rFonts w:eastAsia="Calibri"/>
        </w:rPr>
      </w:pPr>
      <w:r w:rsidRPr="001A32E7">
        <w:rPr>
          <w:rFonts w:eastAsia="Calibri"/>
        </w:rPr>
        <w:t>Stakeholder engagement will take place in three phases – in the project preparation phase</w:t>
      </w:r>
      <w:r w:rsidRPr="006A75F5">
        <w:rPr>
          <w:rFonts w:eastAsia="Calibri"/>
        </w:rPr>
        <w:t>,</w:t>
      </w:r>
      <w:r w:rsidRPr="001A32E7">
        <w:rPr>
          <w:rFonts w:eastAsia="Calibri"/>
        </w:rPr>
        <w:t xml:space="preserve"> while the project is being implemented, and lastly in the first few months after project activities have been wrapped up.  </w:t>
      </w:r>
    </w:p>
    <w:p w14:paraId="12F1DDF3" w14:textId="3E5B511E" w:rsidR="00D710F5" w:rsidRDefault="00D710F5" w:rsidP="003E3DFE">
      <w:pPr>
        <w:pStyle w:val="BodyText"/>
        <w:jc w:val="both"/>
        <w:rPr>
          <w:rFonts w:eastAsia="Calibri"/>
        </w:rPr>
      </w:pPr>
      <w:r w:rsidRPr="001A32E7">
        <w:rPr>
          <w:rFonts w:eastAsia="Calibri"/>
        </w:rPr>
        <w:t xml:space="preserve">In the preparation stage, given time constraints, engagement </w:t>
      </w:r>
      <w:r w:rsidR="00DF1160">
        <w:rPr>
          <w:rFonts w:eastAsia="Calibri"/>
        </w:rPr>
        <w:t>has been</w:t>
      </w:r>
      <w:r w:rsidRPr="001A32E7">
        <w:rPr>
          <w:rFonts w:eastAsia="Calibri"/>
        </w:rPr>
        <w:t xml:space="preserve"> limited to interactions with </w:t>
      </w:r>
      <w:r>
        <w:rPr>
          <w:rFonts w:eastAsia="Calibri"/>
        </w:rPr>
        <w:t>program</w:t>
      </w:r>
      <w:r w:rsidRPr="001A32E7">
        <w:rPr>
          <w:rFonts w:eastAsia="Calibri"/>
        </w:rPr>
        <w:t xml:space="preserve"> affected parties.  </w:t>
      </w:r>
      <w:r>
        <w:rPr>
          <w:rFonts w:eastAsia="Calibri"/>
        </w:rPr>
        <w:t xml:space="preserve">The purpose of engagement at this stage </w:t>
      </w:r>
      <w:r w:rsidR="00DF1160">
        <w:rPr>
          <w:rFonts w:eastAsia="Calibri"/>
        </w:rPr>
        <w:t>was</w:t>
      </w:r>
      <w:r>
        <w:rPr>
          <w:rFonts w:eastAsia="Calibri"/>
        </w:rPr>
        <w:t xml:space="preserve"> to apprise the stakeholder groups of planned reforms and activities, to get feedback on inputs on the proposed program, and to ensure that valid concerns of stakeholders and useful suggestions are taken on board and addressed before program activities are finalized.  Feedback loops </w:t>
      </w:r>
      <w:r w:rsidR="00DF1160">
        <w:rPr>
          <w:rFonts w:eastAsia="Calibri"/>
        </w:rPr>
        <w:t>are being</w:t>
      </w:r>
      <w:r>
        <w:rPr>
          <w:rFonts w:eastAsia="Calibri"/>
        </w:rPr>
        <w:t xml:space="preserve"> created, and a grievance redress mechanism </w:t>
      </w:r>
      <w:r w:rsidR="00DF1160">
        <w:rPr>
          <w:rFonts w:eastAsia="Calibri"/>
        </w:rPr>
        <w:t>is being</w:t>
      </w:r>
      <w:r>
        <w:rPr>
          <w:rFonts w:eastAsia="Calibri"/>
        </w:rPr>
        <w:t xml:space="preserve"> designed at this stage, so that stakeholders are confident that their concerns will not be dismissed.</w:t>
      </w:r>
    </w:p>
    <w:p w14:paraId="63DC61E2" w14:textId="1BB66A1B" w:rsidR="00D710F5" w:rsidRDefault="00D710F5" w:rsidP="003E3DFE">
      <w:pPr>
        <w:pStyle w:val="BodyText"/>
        <w:jc w:val="both"/>
        <w:rPr>
          <w:rFonts w:eastAsia="Calibri"/>
        </w:rPr>
      </w:pPr>
      <w:r w:rsidRPr="001A32E7">
        <w:rPr>
          <w:rFonts w:eastAsia="Calibri"/>
        </w:rPr>
        <w:t xml:space="preserve">In the </w:t>
      </w:r>
      <w:r>
        <w:rPr>
          <w:rFonts w:eastAsia="Calibri"/>
        </w:rPr>
        <w:t>program</w:t>
      </w:r>
      <w:r w:rsidRPr="001A32E7">
        <w:rPr>
          <w:rFonts w:eastAsia="Calibri"/>
        </w:rPr>
        <w:t xml:space="preserve"> implementation stage, consultations will be carried out with affected parties, </w:t>
      </w:r>
      <w:r>
        <w:rPr>
          <w:rFonts w:eastAsia="Calibri"/>
        </w:rPr>
        <w:t xml:space="preserve">and </w:t>
      </w:r>
      <w:r w:rsidRPr="001A32E7">
        <w:rPr>
          <w:rFonts w:eastAsia="Calibri"/>
        </w:rPr>
        <w:t xml:space="preserve">other </w:t>
      </w:r>
      <w:r w:rsidR="00DF1160">
        <w:rPr>
          <w:rFonts w:eastAsia="Calibri"/>
        </w:rPr>
        <w:t xml:space="preserve">interested </w:t>
      </w:r>
      <w:r w:rsidRPr="001A32E7">
        <w:rPr>
          <w:rFonts w:eastAsia="Calibri"/>
        </w:rPr>
        <w:t>parties</w:t>
      </w:r>
      <w:r>
        <w:rPr>
          <w:rFonts w:eastAsia="Calibri"/>
        </w:rPr>
        <w:t xml:space="preserve">.  </w:t>
      </w:r>
      <w:r w:rsidR="001D6CA7">
        <w:rPr>
          <w:rFonts w:eastAsia="Calibri"/>
        </w:rPr>
        <w:t>Representatives of v</w:t>
      </w:r>
      <w:r w:rsidRPr="001A32E7">
        <w:rPr>
          <w:rFonts w:eastAsia="Calibri"/>
        </w:rPr>
        <w:t xml:space="preserve">ulnerable groups </w:t>
      </w:r>
      <w:r w:rsidR="00A40FB0">
        <w:rPr>
          <w:rFonts w:eastAsia="Calibri"/>
        </w:rPr>
        <w:t>will be</w:t>
      </w:r>
      <w:r w:rsidRPr="001A32E7">
        <w:rPr>
          <w:rFonts w:eastAsia="Calibri"/>
        </w:rPr>
        <w:t xml:space="preserve"> included in the consultations with affected parties and others.  </w:t>
      </w:r>
      <w:r>
        <w:rPr>
          <w:rFonts w:eastAsia="Calibri"/>
        </w:rPr>
        <w:t>In this phase, the emphasis will be on disseminating information on how reforms are proceeding, getting feedback on impacts, and consulting on how reforms can be made more effective or their negative effects (if any) mitigated.</w:t>
      </w:r>
    </w:p>
    <w:p w14:paraId="18A3F432" w14:textId="77777777" w:rsidR="00D710F5" w:rsidRPr="001A32E7" w:rsidRDefault="00D710F5" w:rsidP="003E3DFE">
      <w:pPr>
        <w:pStyle w:val="BodyText"/>
        <w:jc w:val="both"/>
        <w:rPr>
          <w:rFonts w:eastAsia="Calibri"/>
        </w:rPr>
      </w:pPr>
      <w:r w:rsidRPr="001A32E7">
        <w:rPr>
          <w:rFonts w:eastAsia="Calibri"/>
        </w:rPr>
        <w:t xml:space="preserve">Engagement after </w:t>
      </w:r>
      <w:r>
        <w:rPr>
          <w:rFonts w:eastAsia="Calibri"/>
        </w:rPr>
        <w:t>program</w:t>
      </w:r>
      <w:r w:rsidRPr="001A32E7">
        <w:rPr>
          <w:rFonts w:eastAsia="Calibri"/>
        </w:rPr>
        <w:t xml:space="preserve"> conclusion will similarly focus on all three identified stakeholder groups. </w:t>
      </w:r>
      <w:r>
        <w:rPr>
          <w:rFonts w:eastAsia="Calibri"/>
        </w:rPr>
        <w:t xml:space="preserve"> At this stage of the process, the emphasis will be on </w:t>
      </w:r>
      <w:r>
        <w:rPr>
          <w:rFonts w:eastAsia="Calibri"/>
        </w:rPr>
        <w:lastRenderedPageBreak/>
        <w:t xml:space="preserve">understanding how the effects of program activities, both in terms of policy impacts, and how they have affected concerned personnel and organization culture. </w:t>
      </w:r>
    </w:p>
    <w:p w14:paraId="64DBD484" w14:textId="1216EF99" w:rsidR="00D710F5" w:rsidRDefault="00D710F5" w:rsidP="003E3DFE">
      <w:pPr>
        <w:pStyle w:val="BodyText"/>
        <w:jc w:val="both"/>
        <w:rPr>
          <w:rFonts w:eastAsia="Calibri"/>
        </w:rPr>
      </w:pPr>
      <w:r w:rsidRPr="001A32E7">
        <w:rPr>
          <w:rFonts w:eastAsia="Calibri"/>
        </w:rPr>
        <w:t xml:space="preserve">The periodicity of consultations will vary through the project cycle.  In the preparation stage, </w:t>
      </w:r>
      <w:r>
        <w:rPr>
          <w:rFonts w:eastAsia="Calibri"/>
        </w:rPr>
        <w:t xml:space="preserve">two </w:t>
      </w:r>
      <w:r w:rsidRPr="001A32E7">
        <w:rPr>
          <w:rFonts w:eastAsia="Calibri"/>
        </w:rPr>
        <w:t xml:space="preserve">consultations </w:t>
      </w:r>
      <w:r>
        <w:rPr>
          <w:rFonts w:eastAsia="Calibri"/>
        </w:rPr>
        <w:t>took</w:t>
      </w:r>
      <w:r w:rsidRPr="001A32E7">
        <w:rPr>
          <w:rFonts w:eastAsia="Calibri"/>
        </w:rPr>
        <w:t xml:space="preserve"> place </w:t>
      </w:r>
      <w:r>
        <w:rPr>
          <w:rFonts w:eastAsia="Calibri"/>
        </w:rPr>
        <w:t>in</w:t>
      </w:r>
      <w:r w:rsidRPr="001A32E7">
        <w:rPr>
          <w:rFonts w:eastAsia="Calibri"/>
        </w:rPr>
        <w:t xml:space="preserve"> November 2019, focusing on affected parties in Karachi</w:t>
      </w:r>
      <w:r>
        <w:rPr>
          <w:rFonts w:eastAsia="Calibri"/>
        </w:rPr>
        <w:t xml:space="preserve"> and Sialkot</w:t>
      </w:r>
      <w:r w:rsidRPr="001A32E7">
        <w:rPr>
          <w:rFonts w:eastAsia="Calibri"/>
        </w:rPr>
        <w:t xml:space="preserve">.   </w:t>
      </w:r>
      <w:r>
        <w:rPr>
          <w:rFonts w:eastAsia="Calibri"/>
        </w:rPr>
        <w:t>In the program implementation stage, consultations will be planned quarterly, and will cover all major stakeholder groups at various commercial hubs of the Country (</w:t>
      </w:r>
      <w:r w:rsidRPr="001A32E7">
        <w:rPr>
          <w:rFonts w:eastAsia="Calibri"/>
        </w:rPr>
        <w:t>Karachi</w:t>
      </w:r>
      <w:r>
        <w:rPr>
          <w:rFonts w:eastAsia="Calibri"/>
        </w:rPr>
        <w:t>,</w:t>
      </w:r>
      <w:r w:rsidR="00FC6DC0">
        <w:rPr>
          <w:rFonts w:eastAsia="Calibri"/>
        </w:rPr>
        <w:t xml:space="preserve"> </w:t>
      </w:r>
      <w:r>
        <w:rPr>
          <w:rFonts w:eastAsia="Calibri"/>
        </w:rPr>
        <w:t>Sialkot,</w:t>
      </w:r>
      <w:r w:rsidRPr="001A32E7">
        <w:rPr>
          <w:rFonts w:eastAsia="Calibri"/>
        </w:rPr>
        <w:t xml:space="preserve"> Lahore, Faisalabad, Rawalpindi</w:t>
      </w:r>
      <w:r>
        <w:rPr>
          <w:rFonts w:eastAsia="Calibri"/>
        </w:rPr>
        <w:t>,</w:t>
      </w:r>
      <w:r w:rsidRPr="001A32E7">
        <w:rPr>
          <w:rFonts w:eastAsia="Calibri"/>
        </w:rPr>
        <w:t xml:space="preserve"> Quetta </w:t>
      </w:r>
      <w:r>
        <w:rPr>
          <w:rFonts w:eastAsia="Calibri"/>
        </w:rPr>
        <w:t>and</w:t>
      </w:r>
      <w:r w:rsidRPr="001A32E7">
        <w:rPr>
          <w:rFonts w:eastAsia="Calibri"/>
        </w:rPr>
        <w:t xml:space="preserve"> Peshawar</w:t>
      </w:r>
      <w:r>
        <w:rPr>
          <w:rFonts w:eastAsia="Calibri"/>
        </w:rPr>
        <w:t>).  In the post program implementation phase, a fixed number of consultations will be carried out.  Details are given in the following sections.</w:t>
      </w:r>
    </w:p>
    <w:p w14:paraId="6074A830" w14:textId="77777777" w:rsidR="00D710F5" w:rsidRPr="00BA173C" w:rsidRDefault="00D710F5" w:rsidP="00D70AC2">
      <w:pPr>
        <w:pStyle w:val="Heading2"/>
      </w:pPr>
      <w:bookmarkStart w:id="56" w:name="_Toc430790370"/>
      <w:bookmarkStart w:id="57" w:name="_Toc436419361"/>
      <w:bookmarkStart w:id="58" w:name="_Toc452826927"/>
      <w:r w:rsidRPr="00BA173C">
        <w:t xml:space="preserve">Information </w:t>
      </w:r>
      <w:r>
        <w:t>D</w:t>
      </w:r>
      <w:r w:rsidRPr="00BA173C">
        <w:t>isclosure</w:t>
      </w:r>
      <w:bookmarkEnd w:id="56"/>
      <w:bookmarkEnd w:id="57"/>
      <w:bookmarkEnd w:id="58"/>
    </w:p>
    <w:p w14:paraId="76652A47" w14:textId="77777777" w:rsidR="00D710F5" w:rsidRDefault="00D710F5" w:rsidP="003E3DFE">
      <w:pPr>
        <w:pStyle w:val="BodyText"/>
        <w:jc w:val="both"/>
      </w:pPr>
      <w:r>
        <w:t>The flow of information is one of the most important aspects of the stakeholder engagement plan. It is vital that complete information is disseminated to the relevant stakeholders and the affected parties at the beginning, and updates are provided at regular intervals as the program proceeds. It is also necessary to give stakeholders ample time to formulate their response and provide feedback during the engagement process. Various modes of communication would be used to disseminate the necessary information to the relevant stakeholders as given in the table below.   Documents will be drafted in English, but summaries will be prepared and uploaded in both English and Urdu to facilitate a broader audience.</w:t>
      </w:r>
    </w:p>
    <w:p w14:paraId="2213D4C4" w14:textId="77777777" w:rsidR="00D710F5" w:rsidRDefault="00D710F5" w:rsidP="00D710F5">
      <w:pPr>
        <w:pStyle w:val="TableTitle"/>
      </w:pPr>
      <w:r>
        <w:t>Table 5.1: Information Disclosure</w:t>
      </w:r>
    </w:p>
    <w:tbl>
      <w:tblPr>
        <w:tblW w:w="5139" w:type="pct"/>
        <w:jc w:val="center"/>
        <w:tblBorders>
          <w:top w:val="single" w:sz="8" w:space="0" w:color="auto"/>
          <w:bottom w:val="single" w:sz="8" w:space="0" w:color="auto"/>
          <w:insideH w:val="dotted" w:sz="8" w:space="0" w:color="auto"/>
        </w:tblBorders>
        <w:tblLayout w:type="fixed"/>
        <w:tblCellMar>
          <w:left w:w="72" w:type="dxa"/>
          <w:right w:w="72" w:type="dxa"/>
        </w:tblCellMar>
        <w:tblLook w:val="04A0" w:firstRow="1" w:lastRow="0" w:firstColumn="1" w:lastColumn="0" w:noHBand="0" w:noVBand="1"/>
      </w:tblPr>
      <w:tblGrid>
        <w:gridCol w:w="1522"/>
        <w:gridCol w:w="1257"/>
        <w:gridCol w:w="1279"/>
        <w:gridCol w:w="1357"/>
        <w:gridCol w:w="1092"/>
        <w:gridCol w:w="975"/>
        <w:gridCol w:w="1398"/>
      </w:tblGrid>
      <w:tr w:rsidR="00D710F5" w:rsidRPr="00141E01" w14:paraId="2B7D3AA4" w14:textId="77777777" w:rsidTr="008007E3">
        <w:trPr>
          <w:tblHeader/>
          <w:jc w:val="center"/>
        </w:trPr>
        <w:tc>
          <w:tcPr>
            <w:tcW w:w="857" w:type="pct"/>
            <w:shd w:val="clear" w:color="auto" w:fill="auto"/>
          </w:tcPr>
          <w:p w14:paraId="6DD61720" w14:textId="77777777" w:rsidR="00D710F5" w:rsidRPr="00141E01" w:rsidRDefault="00D710F5" w:rsidP="0095284D">
            <w:pPr>
              <w:pStyle w:val="TableHead"/>
              <w:suppressAutoHyphens/>
              <w:rPr>
                <w:szCs w:val="18"/>
              </w:rPr>
            </w:pPr>
            <w:r w:rsidRPr="00141E01">
              <w:rPr>
                <w:szCs w:val="18"/>
              </w:rPr>
              <w:t>Project activities</w:t>
            </w:r>
          </w:p>
        </w:tc>
        <w:tc>
          <w:tcPr>
            <w:tcW w:w="708" w:type="pct"/>
            <w:shd w:val="clear" w:color="auto" w:fill="auto"/>
          </w:tcPr>
          <w:p w14:paraId="4942221B" w14:textId="77777777" w:rsidR="00D710F5" w:rsidRPr="00141E01" w:rsidRDefault="00D710F5" w:rsidP="0095284D">
            <w:pPr>
              <w:pStyle w:val="TableHead"/>
              <w:suppressAutoHyphens/>
              <w:rPr>
                <w:szCs w:val="18"/>
              </w:rPr>
            </w:pPr>
            <w:r w:rsidRPr="00141E01">
              <w:rPr>
                <w:szCs w:val="18"/>
              </w:rPr>
              <w:t>List of Information to be disclosed</w:t>
            </w:r>
          </w:p>
        </w:tc>
        <w:tc>
          <w:tcPr>
            <w:tcW w:w="720" w:type="pct"/>
            <w:shd w:val="clear" w:color="auto" w:fill="auto"/>
          </w:tcPr>
          <w:p w14:paraId="09234CD7" w14:textId="77777777" w:rsidR="00D710F5" w:rsidRPr="00141E01" w:rsidRDefault="00D710F5" w:rsidP="0095284D">
            <w:pPr>
              <w:pStyle w:val="TableHead"/>
              <w:suppressAutoHyphens/>
              <w:rPr>
                <w:szCs w:val="18"/>
              </w:rPr>
            </w:pPr>
            <w:r w:rsidRPr="00141E01">
              <w:rPr>
                <w:szCs w:val="18"/>
              </w:rPr>
              <w:t>Methods proposed</w:t>
            </w:r>
          </w:p>
        </w:tc>
        <w:tc>
          <w:tcPr>
            <w:tcW w:w="764" w:type="pct"/>
            <w:shd w:val="clear" w:color="auto" w:fill="auto"/>
          </w:tcPr>
          <w:p w14:paraId="2A477E38" w14:textId="77777777" w:rsidR="00D710F5" w:rsidRPr="00141E01" w:rsidRDefault="00D710F5" w:rsidP="0095284D">
            <w:pPr>
              <w:pStyle w:val="TableHead"/>
              <w:suppressAutoHyphens/>
              <w:rPr>
                <w:szCs w:val="18"/>
              </w:rPr>
            </w:pPr>
            <w:r w:rsidRPr="00141E01">
              <w:rPr>
                <w:szCs w:val="18"/>
              </w:rPr>
              <w:t>Timetable: Locations/</w:t>
            </w:r>
          </w:p>
          <w:p w14:paraId="13C1E0F8" w14:textId="77777777" w:rsidR="00D710F5" w:rsidRPr="00141E01" w:rsidRDefault="00D710F5" w:rsidP="0095284D">
            <w:pPr>
              <w:pStyle w:val="TableHead"/>
              <w:suppressAutoHyphens/>
              <w:rPr>
                <w:szCs w:val="18"/>
              </w:rPr>
            </w:pPr>
            <w:r w:rsidRPr="00141E01">
              <w:rPr>
                <w:szCs w:val="18"/>
              </w:rPr>
              <w:t>Dates</w:t>
            </w:r>
          </w:p>
        </w:tc>
        <w:tc>
          <w:tcPr>
            <w:tcW w:w="615" w:type="pct"/>
            <w:shd w:val="clear" w:color="auto" w:fill="auto"/>
          </w:tcPr>
          <w:p w14:paraId="0FE04D88" w14:textId="77777777" w:rsidR="00D710F5" w:rsidRPr="00141E01" w:rsidRDefault="00D710F5" w:rsidP="0095284D">
            <w:pPr>
              <w:pStyle w:val="TableHead"/>
              <w:suppressAutoHyphens/>
              <w:rPr>
                <w:szCs w:val="18"/>
              </w:rPr>
            </w:pPr>
            <w:r w:rsidRPr="00141E01">
              <w:rPr>
                <w:szCs w:val="18"/>
              </w:rPr>
              <w:t>Target stakeholders</w:t>
            </w:r>
          </w:p>
        </w:tc>
        <w:tc>
          <w:tcPr>
            <w:tcW w:w="549" w:type="pct"/>
            <w:shd w:val="clear" w:color="auto" w:fill="auto"/>
          </w:tcPr>
          <w:p w14:paraId="2B0B202B" w14:textId="77777777" w:rsidR="00D710F5" w:rsidRPr="00141E01" w:rsidRDefault="00D710F5" w:rsidP="0095284D">
            <w:pPr>
              <w:pStyle w:val="TableHead"/>
              <w:suppressAutoHyphens/>
              <w:rPr>
                <w:szCs w:val="18"/>
              </w:rPr>
            </w:pPr>
            <w:r w:rsidRPr="00141E01">
              <w:rPr>
                <w:szCs w:val="18"/>
              </w:rPr>
              <w:t>Percentage reached</w:t>
            </w:r>
          </w:p>
        </w:tc>
        <w:tc>
          <w:tcPr>
            <w:tcW w:w="787" w:type="pct"/>
            <w:shd w:val="clear" w:color="auto" w:fill="auto"/>
          </w:tcPr>
          <w:p w14:paraId="64DDC937" w14:textId="77777777" w:rsidR="00D710F5" w:rsidRPr="00141E01" w:rsidRDefault="00D710F5" w:rsidP="0095284D">
            <w:pPr>
              <w:pStyle w:val="TableHead"/>
              <w:suppressAutoHyphens/>
              <w:rPr>
                <w:szCs w:val="18"/>
              </w:rPr>
            </w:pPr>
            <w:r w:rsidRPr="00141E01">
              <w:rPr>
                <w:szCs w:val="18"/>
              </w:rPr>
              <w:t>Responsibilities</w:t>
            </w:r>
          </w:p>
        </w:tc>
      </w:tr>
      <w:tr w:rsidR="00D710F5" w:rsidRPr="00141E01" w14:paraId="45E6031F" w14:textId="77777777" w:rsidTr="008007E3">
        <w:trPr>
          <w:jc w:val="center"/>
        </w:trPr>
        <w:tc>
          <w:tcPr>
            <w:tcW w:w="857" w:type="pct"/>
            <w:shd w:val="clear" w:color="auto" w:fill="auto"/>
          </w:tcPr>
          <w:p w14:paraId="7E3F827C" w14:textId="12F19571" w:rsidR="00D710F5" w:rsidRPr="00432C6E" w:rsidRDefault="006028D1" w:rsidP="0095284D">
            <w:pPr>
              <w:pStyle w:val="TableEntry"/>
              <w:rPr>
                <w:rFonts w:eastAsia="Calibri"/>
              </w:rPr>
            </w:pPr>
            <w:r>
              <w:rPr>
                <w:rFonts w:eastAsia="Calibri"/>
              </w:rPr>
              <w:t>Establishment</w:t>
            </w:r>
            <w:r w:rsidR="00D710F5" w:rsidRPr="00432C6E">
              <w:rPr>
                <w:rFonts w:eastAsia="Calibri"/>
              </w:rPr>
              <w:t xml:space="preserve"> of </w:t>
            </w:r>
            <w:r w:rsidR="00CF574F">
              <w:rPr>
                <w:rFonts w:eastAsia="Calibri"/>
              </w:rPr>
              <w:t>PGG Board</w:t>
            </w:r>
            <w:r w:rsidR="00D710F5">
              <w:rPr>
                <w:rFonts w:eastAsia="Calibri"/>
              </w:rPr>
              <w:t>:</w:t>
            </w:r>
          </w:p>
          <w:p w14:paraId="657DD83D" w14:textId="77777777" w:rsidR="00D710F5" w:rsidRDefault="00D710F5" w:rsidP="0095284D">
            <w:pPr>
              <w:pStyle w:val="TableEntry"/>
              <w:rPr>
                <w:rFonts w:eastAsia="Calibri"/>
              </w:rPr>
            </w:pPr>
          </w:p>
          <w:p w14:paraId="27DD8C7B" w14:textId="77777777" w:rsidR="00D710F5" w:rsidRPr="00DD6993" w:rsidRDefault="00D710F5" w:rsidP="0095284D">
            <w:pPr>
              <w:pStyle w:val="TableEntry"/>
              <w:rPr>
                <w:rFonts w:eastAsia="Calibri"/>
              </w:rPr>
            </w:pPr>
            <w:r w:rsidRPr="00422D62">
              <w:rPr>
                <w:rFonts w:eastAsia="Calibri"/>
              </w:rPr>
              <w:t xml:space="preserve">This </w:t>
            </w:r>
            <w:r>
              <w:rPr>
                <w:rFonts w:eastAsia="Calibri"/>
              </w:rPr>
              <w:t>will lead to improved</w:t>
            </w:r>
            <w:r w:rsidRPr="00422D62">
              <w:rPr>
                <w:rFonts w:eastAsia="Calibri"/>
              </w:rPr>
              <w:t xml:space="preserve"> coordination among institutions with mandates over trade and competitiveness policies. </w:t>
            </w:r>
          </w:p>
          <w:p w14:paraId="796308DF" w14:textId="77777777" w:rsidR="00D710F5" w:rsidRPr="00422D62" w:rsidRDefault="00D710F5" w:rsidP="0095284D">
            <w:pPr>
              <w:pStyle w:val="TableEntry"/>
              <w:rPr>
                <w:rFonts w:eastAsia="Calibri"/>
              </w:rPr>
            </w:pPr>
          </w:p>
          <w:p w14:paraId="67584A12" w14:textId="58FED1FD" w:rsidR="00D710F5" w:rsidRDefault="00D710F5" w:rsidP="0095284D">
            <w:pPr>
              <w:pStyle w:val="TableEntry"/>
            </w:pPr>
            <w:r w:rsidRPr="00422D62">
              <w:rPr>
                <w:rFonts w:eastAsia="Calibri"/>
              </w:rPr>
              <w:t xml:space="preserve">Creation of a Monitoring and Evaluation Center of Public Policies (under </w:t>
            </w:r>
            <w:r w:rsidR="00CF574F">
              <w:rPr>
                <w:rFonts w:eastAsia="Calibri"/>
              </w:rPr>
              <w:t>PGG Board</w:t>
            </w:r>
            <w:r w:rsidRPr="00422D62">
              <w:rPr>
                <w:rFonts w:eastAsia="Calibri"/>
              </w:rPr>
              <w:t>)</w:t>
            </w:r>
            <w:r>
              <w:rPr>
                <w:rFonts w:eastAsia="Calibri"/>
              </w:rPr>
              <w:t xml:space="preserve">. This would </w:t>
            </w:r>
            <w:r w:rsidRPr="00422D62">
              <w:rPr>
                <w:rFonts w:eastAsia="Calibri"/>
              </w:rPr>
              <w:t xml:space="preserve">help increase the efficiency and effectiveness of T&amp;C public policies, and the </w:t>
            </w:r>
            <w:r w:rsidRPr="00422D62">
              <w:rPr>
                <w:rFonts w:eastAsia="Calibri"/>
              </w:rPr>
              <w:lastRenderedPageBreak/>
              <w:t>transparency and accountability of public institutions.</w:t>
            </w:r>
          </w:p>
          <w:p w14:paraId="411E8681" w14:textId="77777777" w:rsidR="00D710F5" w:rsidRDefault="00D710F5" w:rsidP="0095284D">
            <w:pPr>
              <w:pStyle w:val="TableEntry"/>
            </w:pPr>
          </w:p>
          <w:p w14:paraId="4B1AE744" w14:textId="77777777" w:rsidR="00D710F5" w:rsidRPr="00141E01" w:rsidRDefault="00D710F5" w:rsidP="0095284D">
            <w:pPr>
              <w:pStyle w:val="TableEntry"/>
            </w:pPr>
          </w:p>
          <w:p w14:paraId="622704D3" w14:textId="77777777" w:rsidR="00D710F5" w:rsidRPr="00141E01" w:rsidRDefault="00D710F5" w:rsidP="0095284D">
            <w:pPr>
              <w:pStyle w:val="TableEntry"/>
              <w:rPr>
                <w:color w:val="000000"/>
                <w:sz w:val="20"/>
              </w:rPr>
            </w:pPr>
          </w:p>
        </w:tc>
        <w:tc>
          <w:tcPr>
            <w:tcW w:w="708" w:type="pct"/>
            <w:shd w:val="clear" w:color="auto" w:fill="auto"/>
          </w:tcPr>
          <w:p w14:paraId="0DF10CCA" w14:textId="77777777" w:rsidR="00D710F5" w:rsidRPr="00141E01" w:rsidRDefault="00D710F5" w:rsidP="0095284D">
            <w:pPr>
              <w:pStyle w:val="TableEntry"/>
            </w:pPr>
            <w:r w:rsidRPr="00141E01">
              <w:lastRenderedPageBreak/>
              <w:t>Policy details; implementation plans; evaluation methodology</w:t>
            </w:r>
          </w:p>
        </w:tc>
        <w:tc>
          <w:tcPr>
            <w:tcW w:w="720" w:type="pct"/>
            <w:shd w:val="clear" w:color="auto" w:fill="auto"/>
          </w:tcPr>
          <w:p w14:paraId="738457B4" w14:textId="7092443C" w:rsidR="00D710F5" w:rsidRPr="00141E01" w:rsidRDefault="00D710F5" w:rsidP="006028D1">
            <w:pPr>
              <w:pStyle w:val="TableEntry"/>
            </w:pPr>
            <w:r w:rsidRPr="00141E01">
              <w:t>Policy documents uploaded on program/</w:t>
            </w:r>
            <w:r w:rsidR="008F4B65">
              <w:t>MOC</w:t>
            </w:r>
            <w:r w:rsidRPr="00141E01">
              <w:t xml:space="preserve"> website; infographics prepared with key features and implementation plans and distributed in consultation meetings as well as posted online; </w:t>
            </w:r>
            <w:r w:rsidR="008F4B65">
              <w:t>MOC</w:t>
            </w:r>
            <w:r w:rsidRPr="00141E01">
              <w:t xml:space="preserve"> (and later </w:t>
            </w:r>
            <w:r w:rsidR="006028D1">
              <w:t>SSU</w:t>
            </w:r>
            <w:r w:rsidRPr="00141E01">
              <w:t>) to start a Twitter account to disseminate information, as well as an interactive portal on website</w:t>
            </w:r>
          </w:p>
        </w:tc>
        <w:tc>
          <w:tcPr>
            <w:tcW w:w="764" w:type="pct"/>
            <w:shd w:val="clear" w:color="auto" w:fill="auto"/>
          </w:tcPr>
          <w:p w14:paraId="372588AE" w14:textId="77777777" w:rsidR="00D710F5" w:rsidRPr="00141E01" w:rsidRDefault="00D710F5" w:rsidP="0095284D">
            <w:pPr>
              <w:pStyle w:val="TableEntry"/>
            </w:pPr>
            <w:r w:rsidRPr="00141E01">
              <w:t>To be decided based on policy being evaluated</w:t>
            </w:r>
          </w:p>
        </w:tc>
        <w:tc>
          <w:tcPr>
            <w:tcW w:w="615" w:type="pct"/>
            <w:shd w:val="clear" w:color="auto" w:fill="auto"/>
          </w:tcPr>
          <w:p w14:paraId="35F95174" w14:textId="77777777" w:rsidR="00D710F5" w:rsidRPr="00141E01" w:rsidRDefault="00D710F5" w:rsidP="0095284D">
            <w:pPr>
              <w:pStyle w:val="TableEntry"/>
            </w:pPr>
            <w:r w:rsidRPr="00141E01">
              <w:t>Project Affected persons</w:t>
            </w:r>
          </w:p>
        </w:tc>
        <w:tc>
          <w:tcPr>
            <w:tcW w:w="549" w:type="pct"/>
            <w:shd w:val="clear" w:color="auto" w:fill="auto"/>
          </w:tcPr>
          <w:p w14:paraId="38B6AB9A" w14:textId="77777777" w:rsidR="00D710F5" w:rsidRPr="00141E01" w:rsidRDefault="00D710F5" w:rsidP="0095284D">
            <w:pPr>
              <w:pStyle w:val="TableEntry"/>
            </w:pPr>
            <w:r w:rsidRPr="00141E01">
              <w:t>Not applicable</w:t>
            </w:r>
          </w:p>
        </w:tc>
        <w:tc>
          <w:tcPr>
            <w:tcW w:w="787" w:type="pct"/>
            <w:shd w:val="clear" w:color="auto" w:fill="auto"/>
          </w:tcPr>
          <w:p w14:paraId="52E21254" w14:textId="36509275" w:rsidR="00D710F5" w:rsidRPr="00141E01" w:rsidRDefault="008F4B65" w:rsidP="006028D1">
            <w:pPr>
              <w:pStyle w:val="TableEntry"/>
            </w:pPr>
            <w:r>
              <w:t>MOC</w:t>
            </w:r>
            <w:r w:rsidR="00D710F5" w:rsidRPr="00141E01">
              <w:t xml:space="preserve"> (later </w:t>
            </w:r>
            <w:r w:rsidR="006028D1">
              <w:t>SSU</w:t>
            </w:r>
            <w:r w:rsidR="00D710F5" w:rsidRPr="00141E01">
              <w:t>)</w:t>
            </w:r>
          </w:p>
        </w:tc>
      </w:tr>
      <w:tr w:rsidR="00D710F5" w:rsidRPr="00141E01" w14:paraId="4204AE23" w14:textId="77777777" w:rsidTr="008007E3">
        <w:trPr>
          <w:jc w:val="center"/>
        </w:trPr>
        <w:tc>
          <w:tcPr>
            <w:tcW w:w="857" w:type="pct"/>
            <w:shd w:val="clear" w:color="auto" w:fill="auto"/>
          </w:tcPr>
          <w:p w14:paraId="323F4BEC" w14:textId="2945AE6A" w:rsidR="00D710F5" w:rsidRDefault="000F7128" w:rsidP="0095284D">
            <w:pPr>
              <w:pStyle w:val="TableEntry"/>
              <w:rPr>
                <w:rFonts w:eastAsia="Calibri"/>
              </w:rPr>
            </w:pPr>
            <w:r>
              <w:rPr>
                <w:rFonts w:eastAsia="Calibri"/>
              </w:rPr>
              <w:t xml:space="preserve">One stop </w:t>
            </w:r>
            <w:proofErr w:type="gramStart"/>
            <w:r>
              <w:rPr>
                <w:rFonts w:eastAsia="Calibri"/>
              </w:rPr>
              <w:t>shop</w:t>
            </w:r>
            <w:proofErr w:type="gramEnd"/>
            <w:r>
              <w:rPr>
                <w:rFonts w:eastAsia="Calibri"/>
              </w:rPr>
              <w:t xml:space="preserve"> for business licensing and registration</w:t>
            </w:r>
          </w:p>
          <w:p w14:paraId="415074C7" w14:textId="77777777" w:rsidR="00D710F5" w:rsidRDefault="00D710F5" w:rsidP="0095284D">
            <w:pPr>
              <w:pStyle w:val="TableEntry"/>
              <w:rPr>
                <w:rFonts w:eastAsia="Calibri"/>
              </w:rPr>
            </w:pPr>
            <w:r>
              <w:rPr>
                <w:rFonts w:eastAsia="Calibri"/>
              </w:rPr>
              <w:t xml:space="preserve"> </w:t>
            </w:r>
          </w:p>
          <w:p w14:paraId="469CC890" w14:textId="77777777" w:rsidR="00D710F5" w:rsidRDefault="00D710F5" w:rsidP="0095284D">
            <w:pPr>
              <w:pStyle w:val="TableEntry"/>
              <w:rPr>
                <w:rFonts w:eastAsia="Calibri"/>
              </w:rPr>
            </w:pPr>
            <w:r w:rsidRPr="00FD2190">
              <w:rPr>
                <w:rFonts w:eastAsia="Calibri"/>
              </w:rPr>
              <w:t>This</w:t>
            </w:r>
            <w:r>
              <w:rPr>
                <w:rFonts w:eastAsia="Calibri"/>
              </w:rPr>
              <w:t xml:space="preserve"> would </w:t>
            </w:r>
            <w:r w:rsidRPr="00FD2190">
              <w:rPr>
                <w:rFonts w:eastAsia="Calibri"/>
              </w:rPr>
              <w:t xml:space="preserve">help modernize the Government of Pakistan in areas related to licensing and registration. </w:t>
            </w:r>
          </w:p>
          <w:p w14:paraId="07C72717" w14:textId="77777777" w:rsidR="00D710F5" w:rsidRPr="0075417F" w:rsidRDefault="00D710F5" w:rsidP="0095284D">
            <w:pPr>
              <w:pStyle w:val="TableEntry"/>
              <w:rPr>
                <w:rFonts w:eastAsia="Calibri"/>
              </w:rPr>
            </w:pPr>
            <w:r>
              <w:rPr>
                <w:rFonts w:eastAsia="Calibri"/>
              </w:rPr>
              <w:t xml:space="preserve">Pakistan Business Platform and repayment systems would be introduced for facilitation of the business community. </w:t>
            </w:r>
          </w:p>
          <w:p w14:paraId="7E334A9C" w14:textId="77777777" w:rsidR="00D710F5" w:rsidRDefault="00D710F5" w:rsidP="0095284D">
            <w:pPr>
              <w:pStyle w:val="TableEntry"/>
            </w:pPr>
          </w:p>
          <w:p w14:paraId="10C237CA" w14:textId="77777777" w:rsidR="00D710F5" w:rsidRDefault="00D710F5" w:rsidP="0095284D">
            <w:pPr>
              <w:pStyle w:val="TableEntry"/>
            </w:pPr>
          </w:p>
          <w:p w14:paraId="05E2F044" w14:textId="77777777" w:rsidR="00D710F5" w:rsidRDefault="00D710F5" w:rsidP="0095284D">
            <w:pPr>
              <w:pStyle w:val="TableEntry"/>
            </w:pPr>
          </w:p>
          <w:p w14:paraId="6E2816CD" w14:textId="77777777" w:rsidR="00D710F5" w:rsidRPr="00141E01" w:rsidRDefault="00D710F5" w:rsidP="0095284D">
            <w:pPr>
              <w:pStyle w:val="TableEntry"/>
              <w:rPr>
                <w:color w:val="000000"/>
                <w:sz w:val="20"/>
              </w:rPr>
            </w:pPr>
            <w:r w:rsidRPr="00141E01">
              <w:t xml:space="preserve"> </w:t>
            </w:r>
          </w:p>
        </w:tc>
        <w:tc>
          <w:tcPr>
            <w:tcW w:w="708" w:type="pct"/>
            <w:shd w:val="clear" w:color="auto" w:fill="auto"/>
          </w:tcPr>
          <w:p w14:paraId="12FF95DC" w14:textId="77777777" w:rsidR="00D710F5" w:rsidRPr="00141E01" w:rsidRDefault="00D710F5" w:rsidP="0095284D">
            <w:pPr>
              <w:pStyle w:val="TableEntry"/>
            </w:pPr>
            <w:r w:rsidRPr="00141E01">
              <w:t>Business regulations</w:t>
            </w:r>
            <w:r>
              <w:t xml:space="preserve"> and idea behind the proposed platform.</w:t>
            </w:r>
          </w:p>
        </w:tc>
        <w:tc>
          <w:tcPr>
            <w:tcW w:w="720" w:type="pct"/>
            <w:shd w:val="clear" w:color="auto" w:fill="auto"/>
          </w:tcPr>
          <w:p w14:paraId="7224D53D" w14:textId="77777777" w:rsidR="00D710F5" w:rsidRPr="00141E01" w:rsidRDefault="00D710F5" w:rsidP="0095284D">
            <w:pPr>
              <w:pStyle w:val="TableEntry"/>
            </w:pPr>
            <w:r w:rsidRPr="00141E01">
              <w:t xml:space="preserve">All regulations on a web portal (Pakistan Business Portal).  PBP to have its own Twitter account to keep updating on new policies etc. </w:t>
            </w:r>
          </w:p>
        </w:tc>
        <w:tc>
          <w:tcPr>
            <w:tcW w:w="764" w:type="pct"/>
            <w:shd w:val="clear" w:color="auto" w:fill="auto"/>
          </w:tcPr>
          <w:p w14:paraId="0A156778" w14:textId="77777777" w:rsidR="00D710F5" w:rsidRPr="00141E01" w:rsidRDefault="00D710F5" w:rsidP="0095284D">
            <w:pPr>
              <w:pStyle w:val="TableEntry"/>
            </w:pPr>
            <w:r w:rsidRPr="00141E01">
              <w:t>Portal to be prepared and uploaded as per program schedule.  Communications campaign to be carried on intermittently through program lifecycle to publicize portal</w:t>
            </w:r>
          </w:p>
        </w:tc>
        <w:tc>
          <w:tcPr>
            <w:tcW w:w="615" w:type="pct"/>
            <w:shd w:val="clear" w:color="auto" w:fill="auto"/>
          </w:tcPr>
          <w:p w14:paraId="722F260E" w14:textId="4E7259A0" w:rsidR="00D710F5" w:rsidRPr="00141E01" w:rsidRDefault="00373C66" w:rsidP="0095284D">
            <w:pPr>
              <w:pStyle w:val="TableEntry"/>
            </w:pPr>
            <w:r>
              <w:t xml:space="preserve">Private sector in general, Firms </w:t>
            </w:r>
          </w:p>
        </w:tc>
        <w:tc>
          <w:tcPr>
            <w:tcW w:w="549" w:type="pct"/>
            <w:shd w:val="clear" w:color="auto" w:fill="auto"/>
          </w:tcPr>
          <w:p w14:paraId="15D3E186" w14:textId="77777777" w:rsidR="00D710F5" w:rsidRPr="00141E01" w:rsidRDefault="00D710F5" w:rsidP="0095284D">
            <w:pPr>
              <w:pStyle w:val="TableEntry"/>
            </w:pPr>
            <w:r w:rsidRPr="00141E01">
              <w:t>All</w:t>
            </w:r>
          </w:p>
        </w:tc>
        <w:tc>
          <w:tcPr>
            <w:tcW w:w="787" w:type="pct"/>
            <w:shd w:val="clear" w:color="auto" w:fill="auto"/>
          </w:tcPr>
          <w:p w14:paraId="7C7F7DA9" w14:textId="7140E708" w:rsidR="00D710F5" w:rsidRPr="00141E01" w:rsidRDefault="00D710F5" w:rsidP="006028D1">
            <w:pPr>
              <w:pStyle w:val="TableEntry"/>
            </w:pPr>
            <w:r>
              <w:t xml:space="preserve">BOI, </w:t>
            </w:r>
            <w:r w:rsidR="008F4B65">
              <w:t>MOC</w:t>
            </w:r>
            <w:r w:rsidRPr="00141E01">
              <w:t xml:space="preserve"> (later </w:t>
            </w:r>
            <w:r w:rsidR="006028D1">
              <w:t>SSU</w:t>
            </w:r>
            <w:r w:rsidRPr="00141E01">
              <w:t>)</w:t>
            </w:r>
          </w:p>
        </w:tc>
      </w:tr>
      <w:tr w:rsidR="00D710F5" w:rsidRPr="00141E01" w14:paraId="4C06C46D" w14:textId="77777777" w:rsidTr="008007E3">
        <w:trPr>
          <w:jc w:val="center"/>
        </w:trPr>
        <w:tc>
          <w:tcPr>
            <w:tcW w:w="857" w:type="pct"/>
            <w:shd w:val="clear" w:color="auto" w:fill="auto"/>
          </w:tcPr>
          <w:p w14:paraId="4899445D" w14:textId="43221097" w:rsidR="00D710F5" w:rsidRDefault="008007E3" w:rsidP="0095284D">
            <w:pPr>
              <w:pStyle w:val="TableEntry"/>
              <w:rPr>
                <w:rFonts w:eastAsia="Calibri"/>
                <w:b/>
              </w:rPr>
            </w:pPr>
            <w:r>
              <w:rPr>
                <w:rFonts w:eastAsia="Calibri"/>
              </w:rPr>
              <w:t xml:space="preserve">Strengthening of </w:t>
            </w:r>
            <w:r w:rsidR="00CF3451">
              <w:t>TPW in MOC, and NTC</w:t>
            </w:r>
          </w:p>
          <w:p w14:paraId="3AE080D9" w14:textId="77777777" w:rsidR="00D710F5" w:rsidRDefault="00D710F5" w:rsidP="0095284D">
            <w:pPr>
              <w:pStyle w:val="TableEntry"/>
              <w:rPr>
                <w:rFonts w:eastAsia="Calibri"/>
                <w:b/>
              </w:rPr>
            </w:pPr>
          </w:p>
          <w:p w14:paraId="51BBCF3C" w14:textId="5247AD99" w:rsidR="00D710F5" w:rsidRDefault="00D710F5" w:rsidP="0095284D">
            <w:pPr>
              <w:pStyle w:val="TableEntry"/>
              <w:rPr>
                <w:b/>
                <w:i/>
              </w:rPr>
            </w:pPr>
            <w:r w:rsidRPr="00FD2190">
              <w:rPr>
                <w:rFonts w:eastAsia="Calibri"/>
              </w:rPr>
              <w:t>This</w:t>
            </w:r>
            <w:r>
              <w:rPr>
                <w:rFonts w:eastAsia="Calibri"/>
              </w:rPr>
              <w:t xml:space="preserve"> would address the anti-export bias in tariff policy</w:t>
            </w:r>
          </w:p>
          <w:p w14:paraId="2D0A18CC" w14:textId="77777777" w:rsidR="00D710F5" w:rsidRDefault="00D710F5" w:rsidP="0095284D">
            <w:pPr>
              <w:pStyle w:val="TableEntry"/>
            </w:pPr>
          </w:p>
          <w:p w14:paraId="77662871" w14:textId="77777777" w:rsidR="00D710F5" w:rsidRDefault="00D710F5" w:rsidP="0095284D">
            <w:pPr>
              <w:pStyle w:val="TableEntry"/>
            </w:pPr>
          </w:p>
          <w:p w14:paraId="252A6B31" w14:textId="77777777" w:rsidR="00D710F5" w:rsidRPr="00141E01" w:rsidRDefault="00D710F5" w:rsidP="0095284D">
            <w:pPr>
              <w:pStyle w:val="TableEntry"/>
              <w:rPr>
                <w:color w:val="000000"/>
                <w:sz w:val="20"/>
              </w:rPr>
            </w:pPr>
          </w:p>
        </w:tc>
        <w:tc>
          <w:tcPr>
            <w:tcW w:w="708" w:type="pct"/>
            <w:shd w:val="clear" w:color="auto" w:fill="auto"/>
          </w:tcPr>
          <w:p w14:paraId="675EFF41" w14:textId="22DBA8BD" w:rsidR="00D710F5" w:rsidRPr="00141E01" w:rsidRDefault="00D710F5" w:rsidP="0095284D">
            <w:pPr>
              <w:pStyle w:val="TableEntry"/>
            </w:pPr>
            <w:r w:rsidRPr="00141E01">
              <w:t>National Tariff Policy</w:t>
            </w:r>
            <w:r w:rsidR="008007E3">
              <w:t>, Trade policy</w:t>
            </w:r>
            <w:r w:rsidRPr="00141E01">
              <w:t xml:space="preserve"> and relevant schedules</w:t>
            </w:r>
          </w:p>
        </w:tc>
        <w:tc>
          <w:tcPr>
            <w:tcW w:w="720" w:type="pct"/>
            <w:shd w:val="clear" w:color="auto" w:fill="auto"/>
          </w:tcPr>
          <w:p w14:paraId="42735341" w14:textId="0CE35989" w:rsidR="00D710F5" w:rsidRPr="00141E01" w:rsidRDefault="00D710F5" w:rsidP="008007E3">
            <w:pPr>
              <w:pStyle w:val="TableEntry"/>
            </w:pPr>
            <w:r w:rsidRPr="00141E01">
              <w:t xml:space="preserve">Website of </w:t>
            </w:r>
            <w:r w:rsidR="008F4B65">
              <w:t>PGG Board</w:t>
            </w:r>
            <w:r w:rsidRPr="00141E01">
              <w:t xml:space="preserve"> and </w:t>
            </w:r>
            <w:r w:rsidR="008F4B65">
              <w:t>MOC</w:t>
            </w:r>
            <w:r w:rsidR="008007E3">
              <w:t>; hard copies of policies</w:t>
            </w:r>
            <w:r w:rsidRPr="00141E01">
              <w:t xml:space="preserve"> sent to chambers and industry associations; dissemination also through </w:t>
            </w:r>
            <w:r w:rsidR="008007E3">
              <w:t>SSU</w:t>
            </w:r>
            <w:r w:rsidRPr="00141E01">
              <w:t xml:space="preserve"> Twitter account</w:t>
            </w:r>
          </w:p>
        </w:tc>
        <w:tc>
          <w:tcPr>
            <w:tcW w:w="764" w:type="pct"/>
            <w:shd w:val="clear" w:color="auto" w:fill="auto"/>
          </w:tcPr>
          <w:p w14:paraId="5D4DBB01" w14:textId="0D8DF4F0" w:rsidR="00D710F5" w:rsidRPr="00141E01" w:rsidRDefault="008007E3" w:rsidP="0095284D">
            <w:pPr>
              <w:pStyle w:val="TableEntry"/>
            </w:pPr>
            <w:r>
              <w:t>Draft policies</w:t>
            </w:r>
            <w:r w:rsidR="00D710F5" w:rsidRPr="00141E01">
              <w:t xml:space="preserve"> to be circulated in program preparation phase </w:t>
            </w:r>
          </w:p>
        </w:tc>
        <w:tc>
          <w:tcPr>
            <w:tcW w:w="615" w:type="pct"/>
            <w:shd w:val="clear" w:color="auto" w:fill="auto"/>
          </w:tcPr>
          <w:p w14:paraId="0A0BFFC4" w14:textId="13E52B11" w:rsidR="00D710F5" w:rsidRPr="00141E01" w:rsidRDefault="00373C66" w:rsidP="0095284D">
            <w:pPr>
              <w:pStyle w:val="TableEntry"/>
            </w:pPr>
            <w:r>
              <w:t>Private sector in general, firms</w:t>
            </w:r>
          </w:p>
        </w:tc>
        <w:tc>
          <w:tcPr>
            <w:tcW w:w="549" w:type="pct"/>
            <w:shd w:val="clear" w:color="auto" w:fill="auto"/>
          </w:tcPr>
          <w:p w14:paraId="095FB2FC" w14:textId="77777777" w:rsidR="00D710F5" w:rsidRPr="00141E01" w:rsidRDefault="00D710F5" w:rsidP="0095284D">
            <w:pPr>
              <w:pStyle w:val="TableEntry"/>
            </w:pPr>
            <w:r w:rsidRPr="00141E01">
              <w:t>All</w:t>
            </w:r>
          </w:p>
        </w:tc>
        <w:tc>
          <w:tcPr>
            <w:tcW w:w="787" w:type="pct"/>
            <w:shd w:val="clear" w:color="auto" w:fill="auto"/>
          </w:tcPr>
          <w:p w14:paraId="37622A8A" w14:textId="08EE86BC" w:rsidR="00D710F5" w:rsidRPr="00141E01" w:rsidRDefault="008F4B65" w:rsidP="0095284D">
            <w:pPr>
              <w:pStyle w:val="TableEntry"/>
            </w:pPr>
            <w:r>
              <w:t>PGG Board</w:t>
            </w:r>
            <w:r w:rsidR="008007E3">
              <w:t xml:space="preserve">/ </w:t>
            </w:r>
            <w:r>
              <w:t>MOC</w:t>
            </w:r>
            <w:r w:rsidR="00CF3451">
              <w:t>/NTC</w:t>
            </w:r>
          </w:p>
        </w:tc>
      </w:tr>
      <w:tr w:rsidR="00D710F5" w:rsidRPr="00141E01" w14:paraId="1323C284" w14:textId="77777777" w:rsidTr="008007E3">
        <w:trPr>
          <w:jc w:val="center"/>
        </w:trPr>
        <w:tc>
          <w:tcPr>
            <w:tcW w:w="857" w:type="pct"/>
            <w:shd w:val="clear" w:color="auto" w:fill="auto"/>
          </w:tcPr>
          <w:p w14:paraId="3AAA70B3" w14:textId="1076F2F9" w:rsidR="00D710F5" w:rsidRDefault="008007E3" w:rsidP="0095284D">
            <w:pPr>
              <w:pStyle w:val="TableEntry"/>
              <w:rPr>
                <w:rFonts w:eastAsia="Calibri"/>
              </w:rPr>
            </w:pPr>
            <w:r>
              <w:rPr>
                <w:rFonts w:eastAsia="Calibri"/>
              </w:rPr>
              <w:t>Modernizing</w:t>
            </w:r>
            <w:r w:rsidR="00D710F5" w:rsidRPr="00FD2190">
              <w:rPr>
                <w:rFonts w:eastAsia="Calibri"/>
              </w:rPr>
              <w:t xml:space="preserve"> trade diplomacy</w:t>
            </w:r>
          </w:p>
          <w:p w14:paraId="37B25A78" w14:textId="18987B15" w:rsidR="00D710F5" w:rsidRDefault="00D710F5" w:rsidP="0095284D">
            <w:pPr>
              <w:pStyle w:val="TableEntry"/>
              <w:rPr>
                <w:b/>
                <w:i/>
              </w:rPr>
            </w:pPr>
          </w:p>
          <w:p w14:paraId="50458675" w14:textId="77777777" w:rsidR="00D710F5" w:rsidRPr="00141E01" w:rsidRDefault="00D710F5" w:rsidP="0095284D">
            <w:pPr>
              <w:pStyle w:val="TableEntry"/>
              <w:rPr>
                <w:color w:val="000000"/>
                <w:sz w:val="20"/>
              </w:rPr>
            </w:pPr>
          </w:p>
        </w:tc>
        <w:tc>
          <w:tcPr>
            <w:tcW w:w="708" w:type="pct"/>
            <w:shd w:val="clear" w:color="auto" w:fill="auto"/>
          </w:tcPr>
          <w:p w14:paraId="164420AE" w14:textId="77777777" w:rsidR="00D710F5" w:rsidRPr="00141E01" w:rsidRDefault="00D710F5" w:rsidP="0095284D">
            <w:pPr>
              <w:pStyle w:val="TableEntry"/>
            </w:pPr>
            <w:r w:rsidRPr="00141E01">
              <w:t>Selection criteria and grading standards; lists of selected candidates</w:t>
            </w:r>
          </w:p>
        </w:tc>
        <w:tc>
          <w:tcPr>
            <w:tcW w:w="720" w:type="pct"/>
            <w:shd w:val="clear" w:color="auto" w:fill="auto"/>
          </w:tcPr>
          <w:p w14:paraId="4EA67572" w14:textId="2CB69345" w:rsidR="00D710F5" w:rsidRPr="00141E01" w:rsidRDefault="00D710F5" w:rsidP="008007E3">
            <w:pPr>
              <w:pStyle w:val="TableEntry"/>
            </w:pPr>
            <w:r w:rsidRPr="00141E01">
              <w:t xml:space="preserve">Website of </w:t>
            </w:r>
            <w:r w:rsidR="008F4B65">
              <w:t>MOC</w:t>
            </w:r>
          </w:p>
        </w:tc>
        <w:tc>
          <w:tcPr>
            <w:tcW w:w="764" w:type="pct"/>
            <w:shd w:val="clear" w:color="auto" w:fill="auto"/>
          </w:tcPr>
          <w:p w14:paraId="62F48621" w14:textId="77777777" w:rsidR="00D710F5" w:rsidRPr="00141E01" w:rsidRDefault="00D710F5" w:rsidP="0095284D">
            <w:pPr>
              <w:pStyle w:val="TableEntry"/>
            </w:pPr>
            <w:r w:rsidRPr="00141E01">
              <w:t>As soon as criteria are finalized</w:t>
            </w:r>
          </w:p>
        </w:tc>
        <w:tc>
          <w:tcPr>
            <w:tcW w:w="615" w:type="pct"/>
            <w:shd w:val="clear" w:color="auto" w:fill="auto"/>
          </w:tcPr>
          <w:p w14:paraId="59CA9985" w14:textId="77777777" w:rsidR="00D710F5" w:rsidRPr="00141E01" w:rsidRDefault="00D710F5" w:rsidP="0095284D">
            <w:pPr>
              <w:pStyle w:val="TableEntry"/>
            </w:pPr>
            <w:r w:rsidRPr="00141E01">
              <w:t>Potential applicants for the positions</w:t>
            </w:r>
          </w:p>
        </w:tc>
        <w:tc>
          <w:tcPr>
            <w:tcW w:w="549" w:type="pct"/>
            <w:shd w:val="clear" w:color="auto" w:fill="auto"/>
          </w:tcPr>
          <w:p w14:paraId="4C7074FB" w14:textId="77777777" w:rsidR="00D710F5" w:rsidRPr="00141E01" w:rsidRDefault="00D710F5" w:rsidP="0095284D">
            <w:pPr>
              <w:pStyle w:val="TableEntry"/>
            </w:pPr>
            <w:r w:rsidRPr="00141E01">
              <w:t>All</w:t>
            </w:r>
          </w:p>
        </w:tc>
        <w:tc>
          <w:tcPr>
            <w:tcW w:w="787" w:type="pct"/>
            <w:shd w:val="clear" w:color="auto" w:fill="auto"/>
          </w:tcPr>
          <w:p w14:paraId="1144B015" w14:textId="733C9235" w:rsidR="00D710F5" w:rsidRPr="00141E01" w:rsidRDefault="008F4B65" w:rsidP="008007E3">
            <w:pPr>
              <w:pStyle w:val="TableEntry"/>
            </w:pPr>
            <w:r>
              <w:t>MOC</w:t>
            </w:r>
            <w:r w:rsidR="00D710F5" w:rsidRPr="00141E01">
              <w:t xml:space="preserve"> (later </w:t>
            </w:r>
            <w:r w:rsidR="008007E3">
              <w:t>SSU</w:t>
            </w:r>
            <w:r w:rsidR="00D710F5" w:rsidRPr="00141E01">
              <w:t>)</w:t>
            </w:r>
          </w:p>
        </w:tc>
      </w:tr>
      <w:tr w:rsidR="00D710F5" w:rsidRPr="00141E01" w14:paraId="59A40126" w14:textId="77777777" w:rsidTr="008007E3">
        <w:trPr>
          <w:jc w:val="center"/>
        </w:trPr>
        <w:tc>
          <w:tcPr>
            <w:tcW w:w="857" w:type="pct"/>
            <w:shd w:val="clear" w:color="auto" w:fill="auto"/>
          </w:tcPr>
          <w:p w14:paraId="5DE9EDDC" w14:textId="6EC73C11" w:rsidR="00D710F5" w:rsidRPr="00C949A6" w:rsidRDefault="008007E3" w:rsidP="0095284D">
            <w:pPr>
              <w:pStyle w:val="TableEntry"/>
              <w:rPr>
                <w:rFonts w:eastAsia="Calibri"/>
              </w:rPr>
            </w:pPr>
            <w:r>
              <w:rPr>
                <w:rFonts w:eastAsia="Calibri"/>
              </w:rPr>
              <w:lastRenderedPageBreak/>
              <w:t>Country</w:t>
            </w:r>
            <w:r w:rsidR="00D710F5" w:rsidRPr="00C949A6">
              <w:rPr>
                <w:rFonts w:eastAsia="Calibri"/>
              </w:rPr>
              <w:t xml:space="preserve"> branding campaign:</w:t>
            </w:r>
          </w:p>
          <w:p w14:paraId="7256FBB1" w14:textId="77777777" w:rsidR="00D710F5" w:rsidRDefault="00D710F5" w:rsidP="0095284D">
            <w:pPr>
              <w:pStyle w:val="TableEntry"/>
              <w:rPr>
                <w:rFonts w:eastAsia="Calibri"/>
                <w:b/>
              </w:rPr>
            </w:pPr>
            <w:r w:rsidRPr="00A25C82">
              <w:rPr>
                <w:rFonts w:eastAsia="Calibri"/>
                <w:b/>
              </w:rPr>
              <w:t xml:space="preserve"> </w:t>
            </w:r>
          </w:p>
          <w:p w14:paraId="0E02AF4A" w14:textId="77777777" w:rsidR="00D710F5" w:rsidRDefault="00D710F5" w:rsidP="0095284D">
            <w:pPr>
              <w:pStyle w:val="TableEntry"/>
              <w:rPr>
                <w:rFonts w:eastAsia="Calibri"/>
                <w:b/>
              </w:rPr>
            </w:pPr>
            <w:r w:rsidRPr="00A25C82">
              <w:rPr>
                <w:rFonts w:eastAsia="Calibri"/>
              </w:rPr>
              <w:t xml:space="preserve">The creation and implementation of a country branding campaign will directly contribute through increased visibility of Pakistan as a source of export goods and services and as </w:t>
            </w:r>
            <w:r>
              <w:rPr>
                <w:rFonts w:eastAsia="Calibri"/>
              </w:rPr>
              <w:t xml:space="preserve">a </w:t>
            </w:r>
            <w:r w:rsidRPr="00A25C82">
              <w:rPr>
                <w:rFonts w:eastAsia="Calibri"/>
              </w:rPr>
              <w:t>destination for investment</w:t>
            </w:r>
            <w:r>
              <w:rPr>
                <w:rFonts w:eastAsia="Calibri"/>
              </w:rPr>
              <w:t xml:space="preserve">. </w:t>
            </w:r>
          </w:p>
          <w:p w14:paraId="180B5246" w14:textId="77777777" w:rsidR="00D710F5" w:rsidRPr="00FD2190" w:rsidRDefault="00D710F5" w:rsidP="0095284D">
            <w:pPr>
              <w:pStyle w:val="TableEntry"/>
              <w:rPr>
                <w:rFonts w:eastAsia="Calibri"/>
              </w:rPr>
            </w:pPr>
          </w:p>
        </w:tc>
        <w:tc>
          <w:tcPr>
            <w:tcW w:w="708" w:type="pct"/>
            <w:shd w:val="clear" w:color="auto" w:fill="auto"/>
          </w:tcPr>
          <w:p w14:paraId="055FF73D" w14:textId="77777777" w:rsidR="00D710F5" w:rsidRPr="00141E01" w:rsidRDefault="00D710F5" w:rsidP="0095284D">
            <w:pPr>
              <w:pStyle w:val="TableEntry"/>
            </w:pPr>
            <w:r>
              <w:t>Idea behind the campaign and its intended outcomes</w:t>
            </w:r>
          </w:p>
        </w:tc>
        <w:tc>
          <w:tcPr>
            <w:tcW w:w="720" w:type="pct"/>
            <w:shd w:val="clear" w:color="auto" w:fill="auto"/>
          </w:tcPr>
          <w:p w14:paraId="4D9C8E4A" w14:textId="75C1FAC7" w:rsidR="00D710F5" w:rsidRPr="00141E01" w:rsidRDefault="00D710F5" w:rsidP="009651E2">
            <w:pPr>
              <w:pStyle w:val="TableEntry"/>
            </w:pPr>
            <w:r>
              <w:t xml:space="preserve">Website </w:t>
            </w:r>
            <w:r w:rsidR="008F4B65">
              <w:t>MOC</w:t>
            </w:r>
            <w:r>
              <w:t xml:space="preserve">/ </w:t>
            </w:r>
            <w:r w:rsidR="009651E2">
              <w:t xml:space="preserve">BOI </w:t>
            </w:r>
            <w:r>
              <w:t>and TDAP</w:t>
            </w:r>
          </w:p>
        </w:tc>
        <w:tc>
          <w:tcPr>
            <w:tcW w:w="764" w:type="pct"/>
            <w:shd w:val="clear" w:color="auto" w:fill="auto"/>
          </w:tcPr>
          <w:p w14:paraId="0A0B9064" w14:textId="77777777" w:rsidR="00D710F5" w:rsidRPr="00141E01" w:rsidRDefault="00D710F5" w:rsidP="0095284D">
            <w:pPr>
              <w:pStyle w:val="TableEntry"/>
            </w:pPr>
            <w:r>
              <w:t>Should be prepared in the program preparation phase</w:t>
            </w:r>
          </w:p>
        </w:tc>
        <w:tc>
          <w:tcPr>
            <w:tcW w:w="615" w:type="pct"/>
            <w:shd w:val="clear" w:color="auto" w:fill="auto"/>
          </w:tcPr>
          <w:p w14:paraId="78AF0831" w14:textId="77777777" w:rsidR="00D710F5" w:rsidRPr="00141E01" w:rsidRDefault="00D710F5" w:rsidP="0095284D">
            <w:pPr>
              <w:pStyle w:val="TableEntry"/>
            </w:pPr>
            <w:r>
              <w:t>Chamber of commerce and industry and other business associations.</w:t>
            </w:r>
          </w:p>
        </w:tc>
        <w:tc>
          <w:tcPr>
            <w:tcW w:w="549" w:type="pct"/>
            <w:shd w:val="clear" w:color="auto" w:fill="auto"/>
          </w:tcPr>
          <w:p w14:paraId="6DDA4505" w14:textId="77777777" w:rsidR="00D710F5" w:rsidRPr="00141E01" w:rsidRDefault="00D710F5" w:rsidP="0095284D">
            <w:pPr>
              <w:pStyle w:val="TableEntry"/>
            </w:pPr>
            <w:r>
              <w:t>All</w:t>
            </w:r>
          </w:p>
        </w:tc>
        <w:tc>
          <w:tcPr>
            <w:tcW w:w="787" w:type="pct"/>
            <w:shd w:val="clear" w:color="auto" w:fill="auto"/>
          </w:tcPr>
          <w:p w14:paraId="6996CF85" w14:textId="2DBEAA7E" w:rsidR="00D710F5" w:rsidRPr="00141E01" w:rsidRDefault="008F4B65" w:rsidP="009651E2">
            <w:pPr>
              <w:pStyle w:val="TableEntry"/>
            </w:pPr>
            <w:r>
              <w:t>MOC</w:t>
            </w:r>
            <w:r w:rsidR="00D710F5">
              <w:t xml:space="preserve">, </w:t>
            </w:r>
            <w:r w:rsidR="009651E2">
              <w:t xml:space="preserve">BOI </w:t>
            </w:r>
            <w:r w:rsidR="00D710F5">
              <w:t>and TDA</w:t>
            </w:r>
            <w:r w:rsidR="008007E3">
              <w:t>P</w:t>
            </w:r>
          </w:p>
        </w:tc>
      </w:tr>
      <w:tr w:rsidR="00EB63A1" w:rsidRPr="00141E01" w14:paraId="21BA462E" w14:textId="77777777" w:rsidTr="008007E3">
        <w:trPr>
          <w:jc w:val="center"/>
        </w:trPr>
        <w:tc>
          <w:tcPr>
            <w:tcW w:w="857" w:type="pct"/>
            <w:shd w:val="clear" w:color="auto" w:fill="auto"/>
          </w:tcPr>
          <w:p w14:paraId="0BF915DB" w14:textId="069F638B" w:rsidR="00EB63A1" w:rsidRDefault="00CF3451" w:rsidP="0095284D">
            <w:pPr>
              <w:pStyle w:val="TableEntry"/>
            </w:pPr>
            <w:r>
              <w:t>Export intelligence services</w:t>
            </w:r>
          </w:p>
          <w:p w14:paraId="6DC81FAA" w14:textId="77777777" w:rsidR="00EB63A1" w:rsidRDefault="00EB63A1" w:rsidP="0095284D">
            <w:pPr>
              <w:pStyle w:val="TableEntry"/>
            </w:pPr>
          </w:p>
          <w:p w14:paraId="04F1FF52" w14:textId="7A17511A" w:rsidR="00EB63A1" w:rsidRDefault="00EB63A1" w:rsidP="0095284D">
            <w:pPr>
              <w:pStyle w:val="TableEntry"/>
            </w:pPr>
          </w:p>
        </w:tc>
        <w:tc>
          <w:tcPr>
            <w:tcW w:w="708" w:type="pct"/>
            <w:shd w:val="clear" w:color="auto" w:fill="auto"/>
          </w:tcPr>
          <w:p w14:paraId="348EBDD9" w14:textId="77777777" w:rsidR="00EB63A1" w:rsidRDefault="00EB63A1" w:rsidP="00983B27">
            <w:pPr>
              <w:pStyle w:val="TableEntry"/>
            </w:pPr>
            <w:r>
              <w:t>Rationale behind the proposed intervention.</w:t>
            </w:r>
          </w:p>
          <w:p w14:paraId="63160353" w14:textId="77777777" w:rsidR="00EB63A1" w:rsidRDefault="00EB63A1" w:rsidP="00983B27">
            <w:pPr>
              <w:pStyle w:val="TableEntry"/>
            </w:pPr>
          </w:p>
          <w:p w14:paraId="5E8A6AA8" w14:textId="77777777" w:rsidR="00EB63A1" w:rsidRDefault="00EB63A1" w:rsidP="00983B27">
            <w:pPr>
              <w:pStyle w:val="TableEntry"/>
            </w:pPr>
            <w:r>
              <w:t xml:space="preserve">Implementation plan </w:t>
            </w:r>
          </w:p>
          <w:p w14:paraId="7F2A9142" w14:textId="77777777" w:rsidR="00EB63A1" w:rsidRDefault="00EB63A1" w:rsidP="00983B27">
            <w:pPr>
              <w:pStyle w:val="TableEntry"/>
            </w:pPr>
          </w:p>
          <w:p w14:paraId="52DC9BD8" w14:textId="7DE69A14" w:rsidR="00EB63A1" w:rsidRDefault="00EB63A1" w:rsidP="0095284D">
            <w:pPr>
              <w:pStyle w:val="TableEntry"/>
            </w:pPr>
            <w:r>
              <w:t>Feedback from the stakeholders on the proposed platf</w:t>
            </w:r>
            <w:r w:rsidR="006A0358">
              <w:t>o</w:t>
            </w:r>
            <w:r>
              <w:t>rm</w:t>
            </w:r>
          </w:p>
        </w:tc>
        <w:tc>
          <w:tcPr>
            <w:tcW w:w="720" w:type="pct"/>
            <w:shd w:val="clear" w:color="auto" w:fill="auto"/>
          </w:tcPr>
          <w:p w14:paraId="74538A01" w14:textId="6B8F4276" w:rsidR="00EB63A1" w:rsidRDefault="00EB63A1" w:rsidP="00EB63A1">
            <w:pPr>
              <w:pStyle w:val="TableEntry"/>
            </w:pPr>
            <w:r>
              <w:t xml:space="preserve">Website of </w:t>
            </w:r>
            <w:r w:rsidR="008F4B65">
              <w:t>MOC</w:t>
            </w:r>
            <w:r>
              <w:t xml:space="preserve"> and TDAP</w:t>
            </w:r>
          </w:p>
        </w:tc>
        <w:tc>
          <w:tcPr>
            <w:tcW w:w="764" w:type="pct"/>
            <w:shd w:val="clear" w:color="auto" w:fill="auto"/>
          </w:tcPr>
          <w:p w14:paraId="43E22EB7" w14:textId="4225F668" w:rsidR="00EB63A1" w:rsidRDefault="00EB63A1" w:rsidP="0095284D">
            <w:pPr>
              <w:pStyle w:val="TableEntry"/>
            </w:pPr>
            <w:r>
              <w:t>As soon as the program is finalized</w:t>
            </w:r>
          </w:p>
        </w:tc>
        <w:tc>
          <w:tcPr>
            <w:tcW w:w="615" w:type="pct"/>
            <w:shd w:val="clear" w:color="auto" w:fill="auto"/>
          </w:tcPr>
          <w:p w14:paraId="5727011D" w14:textId="7595C619" w:rsidR="00EB63A1" w:rsidRDefault="00373C66" w:rsidP="0095284D">
            <w:pPr>
              <w:pStyle w:val="TableEntry"/>
            </w:pPr>
            <w:r>
              <w:t>Firms</w:t>
            </w:r>
          </w:p>
        </w:tc>
        <w:tc>
          <w:tcPr>
            <w:tcW w:w="549" w:type="pct"/>
            <w:shd w:val="clear" w:color="auto" w:fill="auto"/>
          </w:tcPr>
          <w:p w14:paraId="0E629F30" w14:textId="009C0A57" w:rsidR="00EB63A1" w:rsidRDefault="00EB63A1" w:rsidP="0095284D">
            <w:pPr>
              <w:pStyle w:val="TableEntry"/>
            </w:pPr>
            <w:r>
              <w:t>All</w:t>
            </w:r>
          </w:p>
        </w:tc>
        <w:tc>
          <w:tcPr>
            <w:tcW w:w="787" w:type="pct"/>
            <w:shd w:val="clear" w:color="auto" w:fill="auto"/>
          </w:tcPr>
          <w:p w14:paraId="7881AC42" w14:textId="71F597FC" w:rsidR="00EB63A1" w:rsidRDefault="008F4B65" w:rsidP="0095284D">
            <w:pPr>
              <w:pStyle w:val="TableEntry"/>
            </w:pPr>
            <w:r>
              <w:t>MOC</w:t>
            </w:r>
            <w:r w:rsidR="00EB63A1">
              <w:t>, TDAP</w:t>
            </w:r>
          </w:p>
        </w:tc>
      </w:tr>
    </w:tbl>
    <w:p w14:paraId="617C9CB2" w14:textId="77777777" w:rsidR="00D710F5" w:rsidRDefault="00D710F5" w:rsidP="00D710F5">
      <w:pPr>
        <w:pStyle w:val="BodyText"/>
      </w:pPr>
    </w:p>
    <w:p w14:paraId="04943C19" w14:textId="77777777" w:rsidR="00D710F5" w:rsidRDefault="00D710F5" w:rsidP="00D710F5">
      <w:pPr>
        <w:pStyle w:val="Heading3"/>
      </w:pPr>
      <w:bookmarkStart w:id="59" w:name="_Toc430790371"/>
      <w:bookmarkStart w:id="60" w:name="_Toc436419362"/>
      <w:bookmarkStart w:id="61" w:name="_Toc452826928"/>
      <w:r w:rsidRPr="00972088">
        <w:t xml:space="preserve">Proposed </w:t>
      </w:r>
      <w:r>
        <w:t>S</w:t>
      </w:r>
      <w:r w:rsidRPr="00972088">
        <w:t xml:space="preserve">trategy for </w:t>
      </w:r>
      <w:r>
        <w:t>S</w:t>
      </w:r>
      <w:r w:rsidRPr="00826D1E">
        <w:t xml:space="preserve">takeholder </w:t>
      </w:r>
      <w:r>
        <w:t>E</w:t>
      </w:r>
      <w:r w:rsidRPr="00826D1E">
        <w:t>ngagement</w:t>
      </w:r>
      <w:bookmarkEnd w:id="59"/>
      <w:bookmarkEnd w:id="60"/>
      <w:bookmarkEnd w:id="61"/>
    </w:p>
    <w:p w14:paraId="45D23FFB" w14:textId="338AA673" w:rsidR="00D710F5" w:rsidRDefault="00D710F5" w:rsidP="003E3DFE">
      <w:pPr>
        <w:pStyle w:val="BodyText"/>
        <w:jc w:val="both"/>
      </w:pPr>
      <w:r>
        <w:t>As given in the table above, there is a variety of information that is to be disclosed to stakeholders over the course of program preparation and implementation. The information will be disseminated using relevant strategies depending on the stakeholder group and the program stage.  Stakeholders will be provided draft documents in advance of consultations when these are available.</w:t>
      </w:r>
    </w:p>
    <w:p w14:paraId="2DED632A" w14:textId="77777777" w:rsidR="00D710F5" w:rsidRDefault="00D710F5" w:rsidP="00D710F5">
      <w:pPr>
        <w:pStyle w:val="BodyText"/>
      </w:pPr>
      <w:r>
        <w:t xml:space="preserve"> </w:t>
      </w:r>
    </w:p>
    <w:p w14:paraId="07021A14" w14:textId="77777777" w:rsidR="00D710F5" w:rsidRPr="00964A60" w:rsidRDefault="00D710F5" w:rsidP="00D710F5">
      <w:pPr>
        <w:pStyle w:val="TableTitle"/>
      </w:pPr>
      <w:r>
        <w:t>Table 5.2:  Strategy for Stakeholder Engagement</w:t>
      </w:r>
    </w:p>
    <w:p w14:paraId="76AF203E" w14:textId="77777777" w:rsidR="00D710F5" w:rsidRDefault="00D710F5" w:rsidP="00D710F5">
      <w:pPr>
        <w:pStyle w:val="BodyText"/>
      </w:pPr>
    </w:p>
    <w:tbl>
      <w:tblPr>
        <w:tblW w:w="5425" w:type="pct"/>
        <w:jc w:val="center"/>
        <w:tblBorders>
          <w:top w:val="single" w:sz="8" w:space="0" w:color="auto"/>
          <w:bottom w:val="single" w:sz="8" w:space="0" w:color="auto"/>
          <w:insideH w:val="dotted" w:sz="8" w:space="0" w:color="auto"/>
        </w:tblBorders>
        <w:tblCellMar>
          <w:left w:w="72" w:type="dxa"/>
          <w:right w:w="72" w:type="dxa"/>
        </w:tblCellMar>
        <w:tblLook w:val="04A0" w:firstRow="1" w:lastRow="0" w:firstColumn="1" w:lastColumn="0" w:noHBand="0" w:noVBand="1"/>
      </w:tblPr>
      <w:tblGrid>
        <w:gridCol w:w="1868"/>
        <w:gridCol w:w="1365"/>
        <w:gridCol w:w="1245"/>
        <w:gridCol w:w="1445"/>
        <w:gridCol w:w="1485"/>
        <w:gridCol w:w="1966"/>
      </w:tblGrid>
      <w:tr w:rsidR="00D710F5" w:rsidRPr="00756D15" w14:paraId="68C4D16B" w14:textId="77777777" w:rsidTr="0094373D">
        <w:trPr>
          <w:tblHeader/>
          <w:jc w:val="center"/>
        </w:trPr>
        <w:tc>
          <w:tcPr>
            <w:tcW w:w="1021" w:type="pct"/>
            <w:shd w:val="clear" w:color="auto" w:fill="auto"/>
          </w:tcPr>
          <w:p w14:paraId="3774E675" w14:textId="77777777" w:rsidR="00D710F5" w:rsidRPr="00141E01" w:rsidRDefault="00D710F5" w:rsidP="0095284D">
            <w:pPr>
              <w:pStyle w:val="TableHead"/>
              <w:suppressAutoHyphens/>
              <w:rPr>
                <w:szCs w:val="18"/>
              </w:rPr>
            </w:pPr>
            <w:r w:rsidRPr="00141E01">
              <w:rPr>
                <w:szCs w:val="18"/>
              </w:rPr>
              <w:lastRenderedPageBreak/>
              <w:t>Activities</w:t>
            </w:r>
          </w:p>
        </w:tc>
        <w:tc>
          <w:tcPr>
            <w:tcW w:w="716" w:type="pct"/>
            <w:shd w:val="clear" w:color="auto" w:fill="auto"/>
          </w:tcPr>
          <w:p w14:paraId="1AB9DAC4" w14:textId="77777777" w:rsidR="00D710F5" w:rsidRPr="00141E01" w:rsidRDefault="00D710F5" w:rsidP="0095284D">
            <w:pPr>
              <w:pStyle w:val="TableHead"/>
              <w:suppressAutoHyphens/>
              <w:rPr>
                <w:szCs w:val="18"/>
              </w:rPr>
            </w:pPr>
            <w:r w:rsidRPr="00141E01">
              <w:rPr>
                <w:szCs w:val="18"/>
              </w:rPr>
              <w:t>Target stakeholders</w:t>
            </w:r>
          </w:p>
        </w:tc>
        <w:tc>
          <w:tcPr>
            <w:tcW w:w="653" w:type="pct"/>
            <w:shd w:val="clear" w:color="auto" w:fill="auto"/>
          </w:tcPr>
          <w:p w14:paraId="670A56E2" w14:textId="77777777" w:rsidR="00D710F5" w:rsidRPr="00141E01" w:rsidRDefault="00D710F5" w:rsidP="0095284D">
            <w:pPr>
              <w:pStyle w:val="TableHead"/>
              <w:suppressAutoHyphens/>
              <w:rPr>
                <w:szCs w:val="18"/>
              </w:rPr>
            </w:pPr>
            <w:r w:rsidRPr="00141E01">
              <w:rPr>
                <w:szCs w:val="18"/>
              </w:rPr>
              <w:t>Topic of engagement</w:t>
            </w:r>
          </w:p>
        </w:tc>
        <w:tc>
          <w:tcPr>
            <w:tcW w:w="758" w:type="pct"/>
            <w:shd w:val="clear" w:color="auto" w:fill="auto"/>
          </w:tcPr>
          <w:p w14:paraId="12B41976" w14:textId="77777777" w:rsidR="00D710F5" w:rsidRPr="00141E01" w:rsidRDefault="00D710F5" w:rsidP="0095284D">
            <w:pPr>
              <w:pStyle w:val="TableHead"/>
              <w:suppressAutoHyphens/>
              <w:rPr>
                <w:szCs w:val="18"/>
              </w:rPr>
            </w:pPr>
            <w:r w:rsidRPr="00141E01">
              <w:rPr>
                <w:szCs w:val="18"/>
              </w:rPr>
              <w:t>Method used</w:t>
            </w:r>
          </w:p>
        </w:tc>
        <w:tc>
          <w:tcPr>
            <w:tcW w:w="779" w:type="pct"/>
            <w:shd w:val="clear" w:color="auto" w:fill="auto"/>
          </w:tcPr>
          <w:p w14:paraId="224172ED" w14:textId="77777777" w:rsidR="00D710F5" w:rsidRPr="00141E01" w:rsidRDefault="00D710F5" w:rsidP="0095284D">
            <w:pPr>
              <w:pStyle w:val="TableHead"/>
              <w:suppressAutoHyphens/>
              <w:rPr>
                <w:szCs w:val="18"/>
              </w:rPr>
            </w:pPr>
            <w:r w:rsidRPr="00141E01">
              <w:rPr>
                <w:szCs w:val="18"/>
              </w:rPr>
              <w:t>Location/ Frequency</w:t>
            </w:r>
          </w:p>
        </w:tc>
        <w:tc>
          <w:tcPr>
            <w:tcW w:w="1073" w:type="pct"/>
            <w:shd w:val="clear" w:color="auto" w:fill="auto"/>
          </w:tcPr>
          <w:p w14:paraId="43E2A445" w14:textId="77777777" w:rsidR="00D710F5" w:rsidRPr="00141E01" w:rsidRDefault="00D710F5" w:rsidP="0095284D">
            <w:pPr>
              <w:pStyle w:val="TableHead"/>
              <w:suppressAutoHyphens/>
              <w:rPr>
                <w:szCs w:val="18"/>
              </w:rPr>
            </w:pPr>
            <w:r w:rsidRPr="00141E01">
              <w:rPr>
                <w:szCs w:val="18"/>
              </w:rPr>
              <w:t>Responsibilities</w:t>
            </w:r>
          </w:p>
        </w:tc>
      </w:tr>
      <w:tr w:rsidR="00D710F5" w:rsidRPr="004843DA" w14:paraId="10044FE2" w14:textId="77777777" w:rsidTr="0094373D">
        <w:trPr>
          <w:jc w:val="center"/>
        </w:trPr>
        <w:tc>
          <w:tcPr>
            <w:tcW w:w="1021" w:type="pct"/>
            <w:shd w:val="clear" w:color="auto" w:fill="auto"/>
          </w:tcPr>
          <w:p w14:paraId="1BD00F37" w14:textId="25786542" w:rsidR="008F0354" w:rsidRPr="008F0354" w:rsidRDefault="008F0354" w:rsidP="008F0354">
            <w:pPr>
              <w:pStyle w:val="TableEntry"/>
              <w:rPr>
                <w:rFonts w:eastAsia="Calibri"/>
              </w:rPr>
            </w:pPr>
            <w:r w:rsidRPr="008F0354">
              <w:rPr>
                <w:rFonts w:eastAsia="Calibri"/>
              </w:rPr>
              <w:t xml:space="preserve">Establishment of </w:t>
            </w:r>
            <w:r w:rsidR="00CF574F">
              <w:rPr>
                <w:rFonts w:eastAsia="Calibri"/>
              </w:rPr>
              <w:t>PGG Board</w:t>
            </w:r>
            <w:r w:rsidRPr="008F0354">
              <w:rPr>
                <w:rFonts w:eastAsia="Calibri"/>
              </w:rPr>
              <w:t>:</w:t>
            </w:r>
          </w:p>
          <w:p w14:paraId="17E45EC4" w14:textId="77777777" w:rsidR="008F0354" w:rsidRPr="008F0354" w:rsidRDefault="008F0354" w:rsidP="008F0354">
            <w:pPr>
              <w:pStyle w:val="TableEntry"/>
              <w:rPr>
                <w:rFonts w:eastAsia="Calibri"/>
              </w:rPr>
            </w:pPr>
          </w:p>
          <w:p w14:paraId="6DDAA5FE" w14:textId="33BD046F" w:rsidR="00D710F5" w:rsidRPr="008F0354" w:rsidRDefault="008F0354" w:rsidP="008F0354">
            <w:pPr>
              <w:pStyle w:val="TableEntry"/>
              <w:rPr>
                <w:rFonts w:eastAsia="Calibri"/>
              </w:rPr>
            </w:pPr>
            <w:r w:rsidRPr="008F0354">
              <w:rPr>
                <w:rFonts w:eastAsia="Calibri"/>
              </w:rPr>
              <w:t>This will lead to improved coordination among institutions with mandates over trade and competitiveness policies</w:t>
            </w:r>
          </w:p>
          <w:p w14:paraId="781EE6B9" w14:textId="77777777" w:rsidR="00D710F5" w:rsidRPr="00422D62" w:rsidRDefault="00D710F5" w:rsidP="0095284D">
            <w:pPr>
              <w:pStyle w:val="TableEntry"/>
              <w:rPr>
                <w:rFonts w:eastAsia="Calibri"/>
              </w:rPr>
            </w:pPr>
          </w:p>
          <w:p w14:paraId="5486454F" w14:textId="16D15B7D" w:rsidR="00D710F5" w:rsidRDefault="00D710F5" w:rsidP="0095284D">
            <w:pPr>
              <w:pStyle w:val="TableEntry"/>
            </w:pPr>
            <w:r w:rsidRPr="00422D62">
              <w:rPr>
                <w:rFonts w:eastAsia="Calibri"/>
              </w:rPr>
              <w:t xml:space="preserve">Creation of a Monitoring and Evaluation Center of Public Policies (under </w:t>
            </w:r>
            <w:r w:rsidR="00CF574F">
              <w:rPr>
                <w:rFonts w:eastAsia="Calibri"/>
              </w:rPr>
              <w:t>PGG Board</w:t>
            </w:r>
            <w:r w:rsidRPr="00422D62">
              <w:rPr>
                <w:rFonts w:eastAsia="Calibri"/>
              </w:rPr>
              <w:t>)</w:t>
            </w:r>
            <w:r>
              <w:rPr>
                <w:rFonts w:eastAsia="Calibri"/>
              </w:rPr>
              <w:t xml:space="preserve">. This would </w:t>
            </w:r>
            <w:r w:rsidRPr="00422D62">
              <w:rPr>
                <w:rFonts w:eastAsia="Calibri"/>
              </w:rPr>
              <w:t>help increase the efficiency and effectiveness of T&amp;C public policies, and the transparency and accountability of public institutions.</w:t>
            </w:r>
          </w:p>
          <w:p w14:paraId="3E1DDC83" w14:textId="77777777" w:rsidR="00D710F5" w:rsidRPr="00141E01" w:rsidRDefault="00D710F5" w:rsidP="0095284D">
            <w:pPr>
              <w:pStyle w:val="TableEntry"/>
            </w:pPr>
            <w:r w:rsidRPr="00141E01">
              <w:t xml:space="preserve"> </w:t>
            </w:r>
          </w:p>
        </w:tc>
        <w:tc>
          <w:tcPr>
            <w:tcW w:w="716" w:type="pct"/>
            <w:shd w:val="clear" w:color="auto" w:fill="auto"/>
          </w:tcPr>
          <w:p w14:paraId="1AA16E40" w14:textId="77777777" w:rsidR="00D710F5" w:rsidRPr="00141E01" w:rsidRDefault="00D710F5" w:rsidP="0095284D">
            <w:pPr>
              <w:pStyle w:val="TableEntry"/>
            </w:pPr>
            <w:r w:rsidRPr="00141E01">
              <w:t xml:space="preserve">Industry groups, government implementation agencies </w:t>
            </w:r>
          </w:p>
        </w:tc>
        <w:tc>
          <w:tcPr>
            <w:tcW w:w="653" w:type="pct"/>
            <w:shd w:val="clear" w:color="auto" w:fill="auto"/>
          </w:tcPr>
          <w:p w14:paraId="3E0F4CDD" w14:textId="78AF7AF6" w:rsidR="00D710F5" w:rsidRDefault="00D710F5" w:rsidP="0095284D">
            <w:pPr>
              <w:pStyle w:val="TableEntry"/>
            </w:pPr>
            <w:r>
              <w:t xml:space="preserve">Key functions of </w:t>
            </w:r>
            <w:r w:rsidR="00CF574F">
              <w:t>PGG Board</w:t>
            </w:r>
          </w:p>
          <w:p w14:paraId="6C049C4A" w14:textId="77777777" w:rsidR="00D710F5" w:rsidRDefault="00D710F5" w:rsidP="0095284D">
            <w:pPr>
              <w:pStyle w:val="TableEntry"/>
            </w:pPr>
          </w:p>
          <w:p w14:paraId="07ECB334" w14:textId="7F0D242D" w:rsidR="00D710F5" w:rsidRDefault="00D710F5" w:rsidP="0095284D">
            <w:pPr>
              <w:pStyle w:val="TableEntry"/>
            </w:pPr>
            <w:r>
              <w:t xml:space="preserve">Finalization of TORs for </w:t>
            </w:r>
            <w:r w:rsidR="00CF574F">
              <w:t>PGG Board</w:t>
            </w:r>
            <w:r>
              <w:t xml:space="preserve">. </w:t>
            </w:r>
          </w:p>
          <w:p w14:paraId="1EA39029" w14:textId="77777777" w:rsidR="00D710F5" w:rsidRDefault="00D710F5" w:rsidP="0095284D">
            <w:pPr>
              <w:pStyle w:val="TableEntry"/>
            </w:pPr>
          </w:p>
          <w:p w14:paraId="03DE2634" w14:textId="77777777" w:rsidR="00D710F5" w:rsidRDefault="00D710F5" w:rsidP="0095284D">
            <w:pPr>
              <w:pStyle w:val="TableEntry"/>
            </w:pPr>
            <w:r>
              <w:t>Implication on HR</w:t>
            </w:r>
          </w:p>
          <w:p w14:paraId="7C6C39EE" w14:textId="77777777" w:rsidR="00D710F5" w:rsidRDefault="00D710F5" w:rsidP="0095284D">
            <w:pPr>
              <w:pStyle w:val="TableEntry"/>
            </w:pPr>
          </w:p>
          <w:p w14:paraId="5EF763A2" w14:textId="77777777" w:rsidR="00D710F5" w:rsidRDefault="00D710F5" w:rsidP="0095284D">
            <w:pPr>
              <w:pStyle w:val="TableEntry"/>
            </w:pPr>
            <w:r>
              <w:t xml:space="preserve">Equipment requirements. </w:t>
            </w:r>
          </w:p>
          <w:p w14:paraId="53B62793" w14:textId="77777777" w:rsidR="00D710F5" w:rsidRDefault="00D710F5" w:rsidP="0095284D">
            <w:pPr>
              <w:pStyle w:val="TableEntry"/>
            </w:pPr>
          </w:p>
          <w:p w14:paraId="0E19178F" w14:textId="77777777" w:rsidR="00D710F5" w:rsidRPr="00141E01" w:rsidRDefault="00D710F5" w:rsidP="0095284D">
            <w:pPr>
              <w:pStyle w:val="TableEntry"/>
            </w:pPr>
            <w:r w:rsidRPr="00141E01">
              <w:t xml:space="preserve">Key features of policies; Methodology for M&amp;E </w:t>
            </w:r>
          </w:p>
        </w:tc>
        <w:tc>
          <w:tcPr>
            <w:tcW w:w="758" w:type="pct"/>
            <w:shd w:val="clear" w:color="auto" w:fill="auto"/>
          </w:tcPr>
          <w:p w14:paraId="73A984AA" w14:textId="77777777" w:rsidR="00D710F5" w:rsidRPr="00141E01" w:rsidRDefault="00D710F5" w:rsidP="0095284D">
            <w:pPr>
              <w:pStyle w:val="TableEntry"/>
              <w:suppressAutoHyphens/>
              <w:rPr>
                <w:szCs w:val="18"/>
              </w:rPr>
            </w:pPr>
            <w:r w:rsidRPr="00141E01">
              <w:rPr>
                <w:szCs w:val="18"/>
              </w:rPr>
              <w:t>Consultative workshops; focus group discussions, small scale surveys</w:t>
            </w:r>
          </w:p>
        </w:tc>
        <w:tc>
          <w:tcPr>
            <w:tcW w:w="779" w:type="pct"/>
            <w:shd w:val="clear" w:color="auto" w:fill="auto"/>
          </w:tcPr>
          <w:p w14:paraId="4953650B" w14:textId="3631D972" w:rsidR="00D710F5" w:rsidRDefault="00D710F5" w:rsidP="0095284D">
            <w:pPr>
              <w:pStyle w:val="TableEntry"/>
              <w:suppressAutoHyphens/>
              <w:rPr>
                <w:szCs w:val="18"/>
              </w:rPr>
            </w:pPr>
            <w:r>
              <w:rPr>
                <w:szCs w:val="18"/>
              </w:rPr>
              <w:t xml:space="preserve">Plan for creation of the </w:t>
            </w:r>
            <w:r w:rsidR="00CF574F">
              <w:rPr>
                <w:szCs w:val="18"/>
              </w:rPr>
              <w:t xml:space="preserve">PGG Board </w:t>
            </w:r>
            <w:r>
              <w:rPr>
                <w:szCs w:val="18"/>
              </w:rPr>
              <w:t>should be posted on the website in preparation phase.</w:t>
            </w:r>
          </w:p>
          <w:p w14:paraId="1F58376E" w14:textId="77777777" w:rsidR="00D710F5" w:rsidRDefault="00D710F5" w:rsidP="0095284D">
            <w:pPr>
              <w:pStyle w:val="TableEntry"/>
              <w:suppressAutoHyphens/>
              <w:rPr>
                <w:szCs w:val="18"/>
              </w:rPr>
            </w:pPr>
          </w:p>
          <w:p w14:paraId="13FF4947" w14:textId="77777777" w:rsidR="00D710F5" w:rsidRPr="00141E01" w:rsidRDefault="00D710F5" w:rsidP="0095284D">
            <w:pPr>
              <w:pStyle w:val="TableEntry"/>
              <w:suppressAutoHyphens/>
              <w:rPr>
                <w:szCs w:val="18"/>
              </w:rPr>
            </w:pPr>
            <w:r w:rsidRPr="00141E01">
              <w:rPr>
                <w:szCs w:val="18"/>
              </w:rPr>
              <w:t>Plans for M&amp;E Evaluation Center to be posted on website in preparation phase.  Each evaluation would follow a different methodology.  These would be carried out during implementation phase.  Assessment of performance of Center within first six months after program ends</w:t>
            </w:r>
          </w:p>
        </w:tc>
        <w:tc>
          <w:tcPr>
            <w:tcW w:w="1073" w:type="pct"/>
            <w:shd w:val="clear" w:color="auto" w:fill="auto"/>
          </w:tcPr>
          <w:p w14:paraId="43AAF1A0" w14:textId="69204784" w:rsidR="00D710F5" w:rsidRPr="00141E01" w:rsidRDefault="008F4B65" w:rsidP="008F0354">
            <w:pPr>
              <w:pStyle w:val="TableEntry"/>
              <w:suppressAutoHyphens/>
              <w:rPr>
                <w:szCs w:val="18"/>
              </w:rPr>
            </w:pPr>
            <w:r>
              <w:rPr>
                <w:szCs w:val="18"/>
              </w:rPr>
              <w:t>MOC</w:t>
            </w:r>
            <w:r w:rsidR="00D710F5" w:rsidRPr="00141E01">
              <w:rPr>
                <w:szCs w:val="18"/>
              </w:rPr>
              <w:t xml:space="preserve"> (later </w:t>
            </w:r>
            <w:r w:rsidR="008F0354">
              <w:rPr>
                <w:szCs w:val="18"/>
              </w:rPr>
              <w:t>SSU</w:t>
            </w:r>
            <w:r w:rsidR="00D710F5" w:rsidRPr="00141E01">
              <w:rPr>
                <w:szCs w:val="18"/>
              </w:rPr>
              <w:t xml:space="preserve"> and M&amp;E Evaluation Center)</w:t>
            </w:r>
          </w:p>
        </w:tc>
      </w:tr>
      <w:tr w:rsidR="00D710F5" w:rsidRPr="004843DA" w14:paraId="51B1CCEA" w14:textId="77777777" w:rsidTr="0094373D">
        <w:trPr>
          <w:jc w:val="center"/>
        </w:trPr>
        <w:tc>
          <w:tcPr>
            <w:tcW w:w="1021" w:type="pct"/>
            <w:shd w:val="clear" w:color="auto" w:fill="auto"/>
          </w:tcPr>
          <w:p w14:paraId="237CDB52" w14:textId="0A3205E6" w:rsidR="00D710F5" w:rsidRDefault="00265D13" w:rsidP="0095284D">
            <w:pPr>
              <w:pStyle w:val="TableEntry"/>
              <w:rPr>
                <w:rFonts w:eastAsia="Calibri"/>
              </w:rPr>
            </w:pPr>
            <w:r>
              <w:rPr>
                <w:rFonts w:eastAsia="Calibri"/>
              </w:rPr>
              <w:t>O</w:t>
            </w:r>
            <w:r w:rsidRPr="00265D13">
              <w:rPr>
                <w:rFonts w:eastAsia="Calibri"/>
              </w:rPr>
              <w:t>ne-stop shop for business licensing and registration</w:t>
            </w:r>
            <w:r w:rsidR="00D710F5">
              <w:rPr>
                <w:rFonts w:eastAsia="Calibri"/>
              </w:rPr>
              <w:t xml:space="preserve"> </w:t>
            </w:r>
          </w:p>
          <w:p w14:paraId="3D0A82AD" w14:textId="77777777" w:rsidR="00265D13" w:rsidRDefault="00265D13" w:rsidP="0095284D">
            <w:pPr>
              <w:pStyle w:val="TableEntry"/>
              <w:rPr>
                <w:rFonts w:eastAsia="Calibri"/>
              </w:rPr>
            </w:pPr>
          </w:p>
          <w:p w14:paraId="07F69988" w14:textId="77777777" w:rsidR="00D710F5" w:rsidRDefault="00D710F5" w:rsidP="0095284D">
            <w:pPr>
              <w:pStyle w:val="TableEntry"/>
              <w:rPr>
                <w:rFonts w:eastAsia="Calibri"/>
              </w:rPr>
            </w:pPr>
            <w:r w:rsidRPr="00FD2190">
              <w:rPr>
                <w:rFonts w:eastAsia="Calibri"/>
              </w:rPr>
              <w:t>This</w:t>
            </w:r>
            <w:r>
              <w:rPr>
                <w:rFonts w:eastAsia="Calibri"/>
              </w:rPr>
              <w:t xml:space="preserve"> would </w:t>
            </w:r>
            <w:r w:rsidRPr="00FD2190">
              <w:rPr>
                <w:rFonts w:eastAsia="Calibri"/>
              </w:rPr>
              <w:t xml:space="preserve">help modernize the Government of Pakistan in areas related to licensing and registration. </w:t>
            </w:r>
          </w:p>
          <w:p w14:paraId="1A6CA77D" w14:textId="77777777" w:rsidR="00D710F5" w:rsidRPr="00141E01" w:rsidRDefault="00D710F5" w:rsidP="0095284D">
            <w:pPr>
              <w:pStyle w:val="TableEntry"/>
              <w:rPr>
                <w:color w:val="000000"/>
                <w:sz w:val="20"/>
              </w:rPr>
            </w:pPr>
            <w:r>
              <w:rPr>
                <w:rFonts w:eastAsia="Calibri"/>
              </w:rPr>
              <w:t xml:space="preserve">Pakistan Business Platform and repayment systems would be introduced for facilitation of the business community. </w:t>
            </w:r>
            <w:r w:rsidRPr="00141E01">
              <w:t xml:space="preserve"> </w:t>
            </w:r>
          </w:p>
        </w:tc>
        <w:tc>
          <w:tcPr>
            <w:tcW w:w="716" w:type="pct"/>
            <w:shd w:val="clear" w:color="auto" w:fill="auto"/>
          </w:tcPr>
          <w:p w14:paraId="556218E9" w14:textId="200E624F" w:rsidR="00D710F5" w:rsidRPr="00141E01" w:rsidRDefault="00373C66" w:rsidP="0095284D">
            <w:pPr>
              <w:pStyle w:val="TableEntry"/>
            </w:pPr>
            <w:r>
              <w:t>Firms</w:t>
            </w:r>
            <w:r w:rsidR="00D710F5">
              <w:t xml:space="preserve"> </w:t>
            </w:r>
          </w:p>
        </w:tc>
        <w:tc>
          <w:tcPr>
            <w:tcW w:w="653" w:type="pct"/>
            <w:shd w:val="clear" w:color="auto" w:fill="auto"/>
          </w:tcPr>
          <w:p w14:paraId="2F628CD2" w14:textId="77777777" w:rsidR="00D710F5" w:rsidRDefault="00D710F5" w:rsidP="0095284D">
            <w:pPr>
              <w:pStyle w:val="TableEntry"/>
            </w:pPr>
            <w:r w:rsidRPr="00141E01">
              <w:t xml:space="preserve">Policies and steps to improve the ease of doing business. </w:t>
            </w:r>
          </w:p>
          <w:p w14:paraId="72C11686" w14:textId="77777777" w:rsidR="00D710F5" w:rsidRDefault="00D710F5" w:rsidP="0095284D">
            <w:pPr>
              <w:pStyle w:val="TableEntry"/>
            </w:pPr>
          </w:p>
          <w:p w14:paraId="748A0265" w14:textId="77777777" w:rsidR="00D710F5" w:rsidRDefault="00D710F5" w:rsidP="0095284D">
            <w:pPr>
              <w:pStyle w:val="TableEntry"/>
            </w:pPr>
            <w:r>
              <w:t>Information on the proposed platform.</w:t>
            </w:r>
          </w:p>
          <w:p w14:paraId="6D8AD64C" w14:textId="77777777" w:rsidR="00D710F5" w:rsidRDefault="00D710F5" w:rsidP="0095284D">
            <w:pPr>
              <w:pStyle w:val="TableEntry"/>
            </w:pPr>
          </w:p>
          <w:p w14:paraId="024C1A53" w14:textId="7B490ED8" w:rsidR="00D710F5" w:rsidRDefault="00D710F5" w:rsidP="0095284D">
            <w:pPr>
              <w:pStyle w:val="TableEntry"/>
            </w:pPr>
            <w:r>
              <w:t xml:space="preserve">Stakeholder’s feedback and </w:t>
            </w:r>
            <w:r w:rsidR="000F37EF">
              <w:t>elicit</w:t>
            </w:r>
            <w:r>
              <w:t xml:space="preserve"> their requirement of the platform.</w:t>
            </w:r>
          </w:p>
          <w:p w14:paraId="3C9A873E" w14:textId="77777777" w:rsidR="00D710F5" w:rsidRPr="00141E01" w:rsidRDefault="00D710F5" w:rsidP="0095284D">
            <w:pPr>
              <w:pStyle w:val="TableEntry"/>
            </w:pPr>
          </w:p>
        </w:tc>
        <w:tc>
          <w:tcPr>
            <w:tcW w:w="758" w:type="pct"/>
            <w:shd w:val="clear" w:color="auto" w:fill="auto"/>
          </w:tcPr>
          <w:p w14:paraId="0F432BFF" w14:textId="77777777" w:rsidR="00D710F5" w:rsidRDefault="00D710F5" w:rsidP="0095284D">
            <w:pPr>
              <w:pStyle w:val="TableEntry"/>
              <w:suppressAutoHyphens/>
              <w:rPr>
                <w:szCs w:val="18"/>
              </w:rPr>
            </w:pPr>
            <w:r w:rsidRPr="00141E01">
              <w:rPr>
                <w:szCs w:val="18"/>
              </w:rPr>
              <w:t>Dissemination of information through website, and a communications campaign to publicize the website</w:t>
            </w:r>
          </w:p>
          <w:p w14:paraId="1EFB9148" w14:textId="77777777" w:rsidR="00D710F5" w:rsidRDefault="00D710F5" w:rsidP="0095284D">
            <w:pPr>
              <w:pStyle w:val="TableEntry"/>
              <w:suppressAutoHyphens/>
              <w:rPr>
                <w:szCs w:val="18"/>
              </w:rPr>
            </w:pPr>
          </w:p>
          <w:p w14:paraId="3401411D" w14:textId="77777777" w:rsidR="00D710F5" w:rsidRPr="00141E01" w:rsidRDefault="00D710F5" w:rsidP="0095284D">
            <w:pPr>
              <w:pStyle w:val="TableEntry"/>
              <w:suppressAutoHyphens/>
              <w:rPr>
                <w:szCs w:val="18"/>
              </w:rPr>
            </w:pPr>
            <w:r>
              <w:rPr>
                <w:szCs w:val="18"/>
              </w:rPr>
              <w:t>Workshops. KII and FGDs and Online Surveys</w:t>
            </w:r>
          </w:p>
        </w:tc>
        <w:tc>
          <w:tcPr>
            <w:tcW w:w="779" w:type="pct"/>
            <w:shd w:val="clear" w:color="auto" w:fill="auto"/>
          </w:tcPr>
          <w:p w14:paraId="2F2BB3BA" w14:textId="77777777" w:rsidR="00D710F5" w:rsidRDefault="00D710F5" w:rsidP="0095284D">
            <w:pPr>
              <w:pStyle w:val="TableEntry"/>
              <w:suppressAutoHyphens/>
              <w:rPr>
                <w:szCs w:val="18"/>
              </w:rPr>
            </w:pPr>
            <w:r w:rsidRPr="00141E01">
              <w:rPr>
                <w:szCs w:val="18"/>
              </w:rPr>
              <w:t xml:space="preserve">Communications campaign to begin when Beta version of portal is uploaded and carry on through program implementation </w:t>
            </w:r>
          </w:p>
          <w:p w14:paraId="3A9AB745" w14:textId="77777777" w:rsidR="00D710F5" w:rsidRDefault="00D710F5" w:rsidP="0095284D">
            <w:pPr>
              <w:pStyle w:val="TableEntry"/>
              <w:suppressAutoHyphens/>
              <w:rPr>
                <w:szCs w:val="18"/>
              </w:rPr>
            </w:pPr>
          </w:p>
          <w:p w14:paraId="5C759D98" w14:textId="3CCB7FC3" w:rsidR="00D710F5" w:rsidRPr="00141E01" w:rsidRDefault="00D710F5" w:rsidP="0095284D">
            <w:pPr>
              <w:pStyle w:val="TableEntry"/>
              <w:suppressAutoHyphens/>
              <w:rPr>
                <w:szCs w:val="18"/>
              </w:rPr>
            </w:pPr>
            <w:r>
              <w:rPr>
                <w:szCs w:val="18"/>
              </w:rPr>
              <w:t xml:space="preserve">A workshop is to be held at design stage and </w:t>
            </w:r>
            <w:r w:rsidR="000F37EF">
              <w:rPr>
                <w:szCs w:val="18"/>
              </w:rPr>
              <w:t>an</w:t>
            </w:r>
            <w:r>
              <w:rPr>
                <w:szCs w:val="18"/>
              </w:rPr>
              <w:t xml:space="preserve">other after the finalization of the platform. </w:t>
            </w:r>
          </w:p>
        </w:tc>
        <w:tc>
          <w:tcPr>
            <w:tcW w:w="1073" w:type="pct"/>
            <w:shd w:val="clear" w:color="auto" w:fill="auto"/>
          </w:tcPr>
          <w:p w14:paraId="272BADA8" w14:textId="06476527" w:rsidR="00D710F5" w:rsidRPr="00141E01" w:rsidRDefault="00265D13" w:rsidP="0085706B">
            <w:pPr>
              <w:pStyle w:val="TableEntry"/>
              <w:suppressAutoHyphens/>
              <w:rPr>
                <w:szCs w:val="18"/>
              </w:rPr>
            </w:pPr>
            <w:r>
              <w:rPr>
                <w:szCs w:val="18"/>
              </w:rPr>
              <w:t>MOC</w:t>
            </w:r>
            <w:r w:rsidR="00D710F5" w:rsidRPr="00141E01">
              <w:rPr>
                <w:szCs w:val="18"/>
              </w:rPr>
              <w:t xml:space="preserve"> </w:t>
            </w:r>
          </w:p>
        </w:tc>
      </w:tr>
      <w:tr w:rsidR="00D710F5" w:rsidRPr="004843DA" w14:paraId="4DC1D3BF" w14:textId="77777777" w:rsidTr="0094373D">
        <w:trPr>
          <w:jc w:val="center"/>
        </w:trPr>
        <w:tc>
          <w:tcPr>
            <w:tcW w:w="1021" w:type="pct"/>
            <w:shd w:val="clear" w:color="auto" w:fill="auto"/>
          </w:tcPr>
          <w:p w14:paraId="265DF56E" w14:textId="7BE1B475" w:rsidR="0085706B" w:rsidRPr="0085706B" w:rsidRDefault="0085706B" w:rsidP="0085706B">
            <w:pPr>
              <w:pStyle w:val="TableEntry"/>
              <w:rPr>
                <w:rFonts w:eastAsia="Calibri"/>
              </w:rPr>
            </w:pPr>
            <w:r w:rsidRPr="0085706B">
              <w:rPr>
                <w:rFonts w:eastAsia="Calibri"/>
              </w:rPr>
              <w:t xml:space="preserve">Strengthening of </w:t>
            </w:r>
            <w:r w:rsidR="00265D13">
              <w:t>TPW in MOC, and NTC</w:t>
            </w:r>
          </w:p>
          <w:p w14:paraId="7D9D4E68" w14:textId="77777777" w:rsidR="0085706B" w:rsidRPr="0085706B" w:rsidRDefault="0085706B" w:rsidP="0085706B">
            <w:pPr>
              <w:pStyle w:val="TableEntry"/>
              <w:rPr>
                <w:rFonts w:eastAsia="Calibri"/>
              </w:rPr>
            </w:pPr>
          </w:p>
          <w:p w14:paraId="1BEE8FA9" w14:textId="6A034183" w:rsidR="00D710F5" w:rsidRPr="0085706B" w:rsidRDefault="0085706B" w:rsidP="0095284D">
            <w:pPr>
              <w:pStyle w:val="TableEntry"/>
              <w:rPr>
                <w:rFonts w:eastAsia="Calibri"/>
              </w:rPr>
            </w:pPr>
            <w:r w:rsidRPr="0085706B">
              <w:rPr>
                <w:rFonts w:eastAsia="Calibri"/>
              </w:rPr>
              <w:t>This would address the anti-export bias in tariff policy</w:t>
            </w:r>
            <w:r>
              <w:rPr>
                <w:rFonts w:eastAsia="Calibri"/>
              </w:rPr>
              <w:t>.</w:t>
            </w:r>
          </w:p>
          <w:p w14:paraId="2A09F467" w14:textId="77777777" w:rsidR="00D710F5" w:rsidRPr="00141E01" w:rsidRDefault="00D710F5" w:rsidP="0095284D">
            <w:pPr>
              <w:pStyle w:val="TableEntry"/>
              <w:rPr>
                <w:color w:val="000000"/>
                <w:sz w:val="20"/>
              </w:rPr>
            </w:pPr>
          </w:p>
        </w:tc>
        <w:tc>
          <w:tcPr>
            <w:tcW w:w="716" w:type="pct"/>
            <w:shd w:val="clear" w:color="auto" w:fill="auto"/>
          </w:tcPr>
          <w:p w14:paraId="5AF1DB1F" w14:textId="62DE31F6" w:rsidR="00D710F5" w:rsidRPr="00141E01" w:rsidRDefault="00373C66" w:rsidP="0095284D">
            <w:pPr>
              <w:pStyle w:val="TableEntry"/>
            </w:pPr>
            <w:r>
              <w:t>Private sector in general, firms</w:t>
            </w:r>
            <w:r w:rsidR="00D710F5" w:rsidRPr="00141E01">
              <w:t xml:space="preserve"> </w:t>
            </w:r>
          </w:p>
        </w:tc>
        <w:tc>
          <w:tcPr>
            <w:tcW w:w="653" w:type="pct"/>
            <w:shd w:val="clear" w:color="auto" w:fill="auto"/>
          </w:tcPr>
          <w:p w14:paraId="0B702DF3" w14:textId="77777777" w:rsidR="00D710F5" w:rsidRPr="00141E01" w:rsidRDefault="00D710F5" w:rsidP="0095284D">
            <w:pPr>
              <w:pStyle w:val="TableEntry"/>
            </w:pPr>
            <w:r w:rsidRPr="00141E01">
              <w:t>Issues faced due to the current tariff policy and the way forward; Inputs on reforms; feedback</w:t>
            </w:r>
          </w:p>
        </w:tc>
        <w:tc>
          <w:tcPr>
            <w:tcW w:w="758" w:type="pct"/>
            <w:shd w:val="clear" w:color="auto" w:fill="auto"/>
          </w:tcPr>
          <w:p w14:paraId="699F7627" w14:textId="6B625394" w:rsidR="00D710F5" w:rsidRPr="00141E01" w:rsidRDefault="00D710F5" w:rsidP="0095284D">
            <w:pPr>
              <w:pStyle w:val="TableEntry"/>
              <w:suppressAutoHyphens/>
              <w:rPr>
                <w:szCs w:val="18"/>
              </w:rPr>
            </w:pPr>
            <w:r w:rsidRPr="00141E01">
              <w:rPr>
                <w:szCs w:val="18"/>
              </w:rPr>
              <w:t xml:space="preserve">Consultative workshops </w:t>
            </w:r>
            <w:r w:rsidR="00750228">
              <w:rPr>
                <w:szCs w:val="18"/>
              </w:rPr>
              <w:t>– special effort to reach out to women/minority owned businesses</w:t>
            </w:r>
          </w:p>
        </w:tc>
        <w:tc>
          <w:tcPr>
            <w:tcW w:w="779" w:type="pct"/>
            <w:shd w:val="clear" w:color="auto" w:fill="auto"/>
          </w:tcPr>
          <w:p w14:paraId="25849CD2" w14:textId="77777777" w:rsidR="00D710F5" w:rsidRPr="00141E01" w:rsidRDefault="00D710F5" w:rsidP="0095284D">
            <w:pPr>
              <w:pStyle w:val="TableEntry"/>
              <w:suppressAutoHyphens/>
              <w:rPr>
                <w:szCs w:val="18"/>
              </w:rPr>
            </w:pPr>
            <w:r w:rsidRPr="00141E01">
              <w:rPr>
                <w:szCs w:val="18"/>
              </w:rPr>
              <w:t xml:space="preserve">These would be carried out in Karachi, Lahore, Faisalabad, Quetta and Peshawar and would be a one- time exercise in </w:t>
            </w:r>
            <w:r w:rsidRPr="00141E01">
              <w:rPr>
                <w:szCs w:val="18"/>
              </w:rPr>
              <w:lastRenderedPageBreak/>
              <w:t xml:space="preserve">the preparation phase. </w:t>
            </w:r>
          </w:p>
        </w:tc>
        <w:tc>
          <w:tcPr>
            <w:tcW w:w="1073" w:type="pct"/>
            <w:shd w:val="clear" w:color="auto" w:fill="auto"/>
          </w:tcPr>
          <w:p w14:paraId="6B80F848" w14:textId="3A0F2F47" w:rsidR="00D710F5" w:rsidRPr="00141E01" w:rsidRDefault="00265D13" w:rsidP="0095284D">
            <w:pPr>
              <w:pStyle w:val="TableEntry"/>
              <w:suppressAutoHyphens/>
              <w:rPr>
                <w:szCs w:val="18"/>
              </w:rPr>
            </w:pPr>
            <w:r>
              <w:lastRenderedPageBreak/>
              <w:t>MOC/NTC</w:t>
            </w:r>
          </w:p>
        </w:tc>
      </w:tr>
      <w:tr w:rsidR="00D710F5" w:rsidRPr="004843DA" w14:paraId="6EBA9AC3" w14:textId="77777777" w:rsidTr="0094373D">
        <w:trPr>
          <w:jc w:val="center"/>
        </w:trPr>
        <w:tc>
          <w:tcPr>
            <w:tcW w:w="1021" w:type="pct"/>
            <w:shd w:val="clear" w:color="auto" w:fill="auto"/>
          </w:tcPr>
          <w:p w14:paraId="1FE52E51" w14:textId="0AF638D4" w:rsidR="00D710F5" w:rsidRDefault="005155A3" w:rsidP="0095284D">
            <w:pPr>
              <w:pStyle w:val="TableEntry"/>
              <w:rPr>
                <w:rFonts w:eastAsia="Calibri"/>
              </w:rPr>
            </w:pPr>
            <w:r>
              <w:rPr>
                <w:rFonts w:eastAsia="Calibri"/>
              </w:rPr>
              <w:t>M</w:t>
            </w:r>
            <w:r w:rsidR="00D710F5" w:rsidRPr="00FD2190">
              <w:rPr>
                <w:rFonts w:eastAsia="Calibri"/>
              </w:rPr>
              <w:t>odernizing trade diplomacy</w:t>
            </w:r>
            <w:r w:rsidR="00D710F5">
              <w:rPr>
                <w:rFonts w:eastAsia="Calibri"/>
              </w:rPr>
              <w:t>:</w:t>
            </w:r>
          </w:p>
          <w:p w14:paraId="362E8A6E" w14:textId="77777777" w:rsidR="00D710F5" w:rsidRDefault="00D710F5" w:rsidP="0095284D">
            <w:pPr>
              <w:pStyle w:val="TableEntry"/>
              <w:rPr>
                <w:rFonts w:eastAsia="Calibri"/>
              </w:rPr>
            </w:pPr>
          </w:p>
          <w:p w14:paraId="32816FDC" w14:textId="77777777" w:rsidR="00D710F5" w:rsidRPr="00141E01" w:rsidRDefault="00D710F5" w:rsidP="0095284D">
            <w:pPr>
              <w:pStyle w:val="TableEntry"/>
            </w:pPr>
            <w:r>
              <w:rPr>
                <w:rFonts w:eastAsia="Calibri"/>
              </w:rPr>
              <w:t>T</w:t>
            </w:r>
            <w:r w:rsidRPr="00FD2190">
              <w:rPr>
                <w:rFonts w:eastAsia="Calibri"/>
              </w:rPr>
              <w:t>hrough better incentive schemes</w:t>
            </w:r>
            <w:r>
              <w:rPr>
                <w:rFonts w:eastAsia="Calibri"/>
              </w:rPr>
              <w:t xml:space="preserve"> and improving the perception of Pakistani brands in international markets.</w:t>
            </w:r>
          </w:p>
        </w:tc>
        <w:tc>
          <w:tcPr>
            <w:tcW w:w="716" w:type="pct"/>
            <w:shd w:val="clear" w:color="auto" w:fill="auto"/>
          </w:tcPr>
          <w:p w14:paraId="2AAD12DB" w14:textId="77777777" w:rsidR="00D710F5" w:rsidRPr="00141E01" w:rsidRDefault="00D710F5" w:rsidP="0095284D">
            <w:pPr>
              <w:pStyle w:val="TableEntry"/>
            </w:pPr>
            <w:r w:rsidRPr="00141E01">
              <w:t>Potential applicants</w:t>
            </w:r>
          </w:p>
        </w:tc>
        <w:tc>
          <w:tcPr>
            <w:tcW w:w="653" w:type="pct"/>
            <w:shd w:val="clear" w:color="auto" w:fill="auto"/>
          </w:tcPr>
          <w:p w14:paraId="4CB91D6C" w14:textId="77777777" w:rsidR="00D710F5" w:rsidRPr="00141E01" w:rsidRDefault="00D710F5" w:rsidP="0095284D">
            <w:pPr>
              <w:pStyle w:val="TableEntry"/>
            </w:pPr>
            <w:r w:rsidRPr="00141E01">
              <w:t>Key performance indicators for Trade and Investment Officers</w:t>
            </w:r>
            <w:r>
              <w:t xml:space="preserve">. </w:t>
            </w:r>
          </w:p>
        </w:tc>
        <w:tc>
          <w:tcPr>
            <w:tcW w:w="758" w:type="pct"/>
            <w:shd w:val="clear" w:color="auto" w:fill="auto"/>
          </w:tcPr>
          <w:p w14:paraId="74AA851C" w14:textId="77777777" w:rsidR="00D710F5" w:rsidRPr="00141E01" w:rsidRDefault="00D710F5" w:rsidP="0095284D">
            <w:pPr>
              <w:pStyle w:val="TableEntry"/>
              <w:suppressAutoHyphens/>
              <w:rPr>
                <w:szCs w:val="18"/>
              </w:rPr>
            </w:pPr>
            <w:r w:rsidRPr="00141E01">
              <w:rPr>
                <w:szCs w:val="18"/>
              </w:rPr>
              <w:t xml:space="preserve">Website to carry criteria for selection and job description as well as performance evaluation criteria </w:t>
            </w:r>
          </w:p>
        </w:tc>
        <w:tc>
          <w:tcPr>
            <w:tcW w:w="779" w:type="pct"/>
            <w:shd w:val="clear" w:color="auto" w:fill="auto"/>
          </w:tcPr>
          <w:p w14:paraId="4CC16AF2" w14:textId="739592E1" w:rsidR="00D710F5" w:rsidRPr="00141E01" w:rsidRDefault="00D710F5" w:rsidP="005155A3">
            <w:pPr>
              <w:pStyle w:val="TableEntry"/>
              <w:suppressAutoHyphens/>
              <w:rPr>
                <w:szCs w:val="18"/>
              </w:rPr>
            </w:pPr>
            <w:r>
              <w:rPr>
                <w:szCs w:val="18"/>
              </w:rPr>
              <w:t xml:space="preserve">Website of </w:t>
            </w:r>
            <w:r w:rsidR="008F4B65">
              <w:rPr>
                <w:szCs w:val="18"/>
              </w:rPr>
              <w:t>MOC</w:t>
            </w:r>
            <w:r>
              <w:rPr>
                <w:szCs w:val="18"/>
              </w:rPr>
              <w:t xml:space="preserve">: </w:t>
            </w:r>
            <w:r w:rsidRPr="00141E01">
              <w:rPr>
                <w:szCs w:val="18"/>
              </w:rPr>
              <w:t xml:space="preserve">To be posted when policy is final </w:t>
            </w:r>
          </w:p>
        </w:tc>
        <w:tc>
          <w:tcPr>
            <w:tcW w:w="1073" w:type="pct"/>
            <w:shd w:val="clear" w:color="auto" w:fill="auto"/>
          </w:tcPr>
          <w:p w14:paraId="3330B5C8" w14:textId="4C30A4A5" w:rsidR="00D710F5" w:rsidRPr="00141E01" w:rsidRDefault="008F4B65" w:rsidP="005155A3">
            <w:pPr>
              <w:pStyle w:val="TableEntry"/>
              <w:suppressAutoHyphens/>
              <w:rPr>
                <w:szCs w:val="18"/>
              </w:rPr>
            </w:pPr>
            <w:r>
              <w:rPr>
                <w:szCs w:val="18"/>
              </w:rPr>
              <w:t>MOC</w:t>
            </w:r>
            <w:r w:rsidR="00D710F5" w:rsidRPr="00141E01">
              <w:rPr>
                <w:szCs w:val="18"/>
              </w:rPr>
              <w:t xml:space="preserve"> </w:t>
            </w:r>
            <w:r w:rsidR="005155A3">
              <w:rPr>
                <w:szCs w:val="18"/>
              </w:rPr>
              <w:t>/SSU</w:t>
            </w:r>
          </w:p>
        </w:tc>
      </w:tr>
      <w:tr w:rsidR="00D710F5" w:rsidRPr="004843DA" w14:paraId="24D8E8BA" w14:textId="77777777" w:rsidTr="0094373D">
        <w:trPr>
          <w:jc w:val="center"/>
        </w:trPr>
        <w:tc>
          <w:tcPr>
            <w:tcW w:w="1021" w:type="pct"/>
            <w:shd w:val="clear" w:color="auto" w:fill="auto"/>
          </w:tcPr>
          <w:p w14:paraId="07D01445" w14:textId="63F43EA9" w:rsidR="00D710F5" w:rsidRPr="00C949A6" w:rsidRDefault="005155A3" w:rsidP="0095284D">
            <w:pPr>
              <w:pStyle w:val="TableEntry"/>
              <w:rPr>
                <w:rFonts w:eastAsia="Calibri"/>
              </w:rPr>
            </w:pPr>
            <w:r>
              <w:rPr>
                <w:rFonts w:eastAsia="Calibri"/>
              </w:rPr>
              <w:t>Country</w:t>
            </w:r>
            <w:r w:rsidR="00D710F5" w:rsidRPr="00C949A6">
              <w:rPr>
                <w:rFonts w:eastAsia="Calibri"/>
              </w:rPr>
              <w:t xml:space="preserve"> branding campaign</w:t>
            </w:r>
            <w:r w:rsidR="00D710F5">
              <w:rPr>
                <w:rFonts w:eastAsia="Calibri"/>
              </w:rPr>
              <w:t>:</w:t>
            </w:r>
            <w:r w:rsidR="00D710F5" w:rsidRPr="00C949A6">
              <w:rPr>
                <w:rFonts w:eastAsia="Calibri"/>
              </w:rPr>
              <w:t xml:space="preserve"> </w:t>
            </w:r>
          </w:p>
          <w:p w14:paraId="54A63E0F" w14:textId="77777777" w:rsidR="00D710F5" w:rsidRDefault="00D710F5" w:rsidP="0095284D">
            <w:pPr>
              <w:pStyle w:val="TableEntry"/>
              <w:rPr>
                <w:rFonts w:eastAsia="Calibri"/>
              </w:rPr>
            </w:pPr>
          </w:p>
          <w:p w14:paraId="08A798A0" w14:textId="77777777" w:rsidR="00D710F5" w:rsidRPr="00C949A6" w:rsidRDefault="00D710F5" w:rsidP="0095284D">
            <w:pPr>
              <w:pStyle w:val="TableEntry"/>
              <w:rPr>
                <w:rFonts w:eastAsia="Calibri"/>
                <w:b/>
              </w:rPr>
            </w:pPr>
            <w:r w:rsidRPr="00A25C82">
              <w:rPr>
                <w:rFonts w:eastAsia="Calibri"/>
              </w:rPr>
              <w:t>The creation and implementation of a country branding campaign will directly contribute to</w:t>
            </w:r>
            <w:r>
              <w:rPr>
                <w:rFonts w:eastAsia="Calibri"/>
              </w:rPr>
              <w:t xml:space="preserve"> </w:t>
            </w:r>
            <w:r w:rsidRPr="00A25C82">
              <w:rPr>
                <w:rFonts w:eastAsia="Calibri"/>
              </w:rPr>
              <w:t>increased visibility of Pakistan as a source of export goods and services and as destination for investment</w:t>
            </w:r>
            <w:r>
              <w:rPr>
                <w:rFonts w:eastAsia="Calibri"/>
              </w:rPr>
              <w:t>.</w:t>
            </w:r>
          </w:p>
        </w:tc>
        <w:tc>
          <w:tcPr>
            <w:tcW w:w="716" w:type="pct"/>
            <w:shd w:val="clear" w:color="auto" w:fill="auto"/>
          </w:tcPr>
          <w:p w14:paraId="2096D711" w14:textId="77777777" w:rsidR="00D710F5" w:rsidRPr="00141E01" w:rsidRDefault="00D710F5" w:rsidP="0095284D">
            <w:pPr>
              <w:pStyle w:val="TableEntry"/>
            </w:pPr>
            <w:r w:rsidRPr="00141E01">
              <w:t>Industry groups, government implementation agencies</w:t>
            </w:r>
            <w:r>
              <w:t>, foreign buyers</w:t>
            </w:r>
          </w:p>
        </w:tc>
        <w:tc>
          <w:tcPr>
            <w:tcW w:w="653" w:type="pct"/>
            <w:shd w:val="clear" w:color="auto" w:fill="auto"/>
          </w:tcPr>
          <w:p w14:paraId="55C56FB5" w14:textId="77777777" w:rsidR="00D710F5" w:rsidRPr="00141E01" w:rsidRDefault="00D710F5" w:rsidP="0095284D">
            <w:pPr>
              <w:pStyle w:val="TableEntry"/>
            </w:pPr>
            <w:r>
              <w:t>Key messages of the campaign</w:t>
            </w:r>
          </w:p>
        </w:tc>
        <w:tc>
          <w:tcPr>
            <w:tcW w:w="758" w:type="pct"/>
            <w:shd w:val="clear" w:color="auto" w:fill="auto"/>
          </w:tcPr>
          <w:p w14:paraId="125B4601" w14:textId="77777777" w:rsidR="00D710F5" w:rsidRPr="00141E01" w:rsidRDefault="00D710F5" w:rsidP="0095284D">
            <w:pPr>
              <w:pStyle w:val="TableEntry"/>
              <w:suppressAutoHyphens/>
              <w:rPr>
                <w:szCs w:val="18"/>
              </w:rPr>
            </w:pPr>
            <w:r>
              <w:rPr>
                <w:szCs w:val="18"/>
              </w:rPr>
              <w:t>Workshops, FGDs and KIIs</w:t>
            </w:r>
          </w:p>
        </w:tc>
        <w:tc>
          <w:tcPr>
            <w:tcW w:w="779" w:type="pct"/>
            <w:shd w:val="clear" w:color="auto" w:fill="auto"/>
          </w:tcPr>
          <w:p w14:paraId="52994045" w14:textId="77777777" w:rsidR="00D710F5" w:rsidRPr="00141E01" w:rsidRDefault="00D710F5" w:rsidP="0095284D">
            <w:pPr>
              <w:pStyle w:val="TableEntry"/>
              <w:suppressAutoHyphens/>
              <w:rPr>
                <w:szCs w:val="18"/>
              </w:rPr>
            </w:pPr>
            <w:r>
              <w:rPr>
                <w:szCs w:val="18"/>
              </w:rPr>
              <w:t>All major chambers of commerce prior to the finalization of the campaign</w:t>
            </w:r>
          </w:p>
        </w:tc>
        <w:tc>
          <w:tcPr>
            <w:tcW w:w="1073" w:type="pct"/>
            <w:shd w:val="clear" w:color="auto" w:fill="auto"/>
          </w:tcPr>
          <w:p w14:paraId="5C4381D6" w14:textId="01291ECB" w:rsidR="00D710F5" w:rsidRPr="00141E01" w:rsidRDefault="008F4B65" w:rsidP="0095284D">
            <w:pPr>
              <w:pStyle w:val="TableEntry"/>
              <w:suppressAutoHyphens/>
              <w:rPr>
                <w:szCs w:val="18"/>
              </w:rPr>
            </w:pPr>
            <w:r>
              <w:rPr>
                <w:szCs w:val="18"/>
              </w:rPr>
              <w:t>MOC</w:t>
            </w:r>
            <w:r w:rsidR="00D710F5">
              <w:rPr>
                <w:szCs w:val="18"/>
              </w:rPr>
              <w:t>, TDAP</w:t>
            </w:r>
          </w:p>
        </w:tc>
      </w:tr>
      <w:tr w:rsidR="004E322C" w:rsidRPr="004843DA" w14:paraId="304F5A1F" w14:textId="77777777" w:rsidTr="0094373D">
        <w:trPr>
          <w:jc w:val="center"/>
        </w:trPr>
        <w:tc>
          <w:tcPr>
            <w:tcW w:w="1021" w:type="pct"/>
            <w:shd w:val="clear" w:color="auto" w:fill="auto"/>
          </w:tcPr>
          <w:p w14:paraId="6F4119F2" w14:textId="06B9CE08" w:rsidR="004E322C" w:rsidRDefault="00265D13" w:rsidP="0086725F">
            <w:pPr>
              <w:pStyle w:val="TableEntry"/>
            </w:pPr>
            <w:r>
              <w:t>Export intelligence services</w:t>
            </w:r>
          </w:p>
          <w:p w14:paraId="2F8D4C15" w14:textId="77777777" w:rsidR="004E322C" w:rsidRDefault="004E322C" w:rsidP="0086725F">
            <w:pPr>
              <w:pStyle w:val="TableEntry"/>
            </w:pPr>
          </w:p>
          <w:p w14:paraId="763F3381" w14:textId="5AAC7C26" w:rsidR="004E322C" w:rsidRDefault="004E322C" w:rsidP="0086725F">
            <w:pPr>
              <w:pStyle w:val="TableEntry"/>
            </w:pPr>
            <w:r>
              <w:t xml:space="preserve">Activity </w:t>
            </w:r>
            <w:r w:rsidRPr="00EB63A1">
              <w:t>seeks to enhance exports through establishment of linkages between the local exporters and international buyers.  An export intelligence platform would be rolled out which would be used for: match making of domestic exports and international buyers, and provision of information on various aspects of export markets.</w:t>
            </w:r>
          </w:p>
        </w:tc>
        <w:tc>
          <w:tcPr>
            <w:tcW w:w="716" w:type="pct"/>
            <w:shd w:val="clear" w:color="auto" w:fill="auto"/>
          </w:tcPr>
          <w:p w14:paraId="71A7D744" w14:textId="1FE65CAA" w:rsidR="004E322C" w:rsidRPr="00141E01" w:rsidRDefault="004E322C" w:rsidP="0095284D">
            <w:pPr>
              <w:pStyle w:val="TableEntry"/>
            </w:pPr>
            <w:r w:rsidRPr="00141E01">
              <w:t>Industry groups, government implementation agencies</w:t>
            </w:r>
            <w:r>
              <w:t>, foreign buyers and SMEs</w:t>
            </w:r>
          </w:p>
        </w:tc>
        <w:tc>
          <w:tcPr>
            <w:tcW w:w="653" w:type="pct"/>
            <w:shd w:val="clear" w:color="auto" w:fill="auto"/>
          </w:tcPr>
          <w:p w14:paraId="637DA179" w14:textId="77777777" w:rsidR="004E322C" w:rsidRDefault="004E322C" w:rsidP="00983B27">
            <w:pPr>
              <w:pStyle w:val="TableEntry"/>
            </w:pPr>
            <w:r>
              <w:t>Information on the proposed database.</w:t>
            </w:r>
          </w:p>
          <w:p w14:paraId="65A8963E" w14:textId="77777777" w:rsidR="004E322C" w:rsidRDefault="004E322C" w:rsidP="00983B27">
            <w:pPr>
              <w:pStyle w:val="TableEntry"/>
            </w:pPr>
          </w:p>
          <w:p w14:paraId="0F98A8F6" w14:textId="77777777" w:rsidR="004E322C" w:rsidRDefault="004E322C" w:rsidP="00983B27">
            <w:pPr>
              <w:pStyle w:val="TableEntry"/>
            </w:pPr>
            <w:r>
              <w:t>Stakeholder’s feedback and seek their requirement of the database</w:t>
            </w:r>
          </w:p>
          <w:p w14:paraId="6E969013" w14:textId="77777777" w:rsidR="004E322C" w:rsidRDefault="004E322C" w:rsidP="00983B27">
            <w:pPr>
              <w:pStyle w:val="TableEntry"/>
            </w:pPr>
          </w:p>
          <w:p w14:paraId="4EFA5233" w14:textId="77777777" w:rsidR="004E322C" w:rsidRDefault="004E322C" w:rsidP="0095284D">
            <w:pPr>
              <w:pStyle w:val="TableEntry"/>
            </w:pPr>
          </w:p>
        </w:tc>
        <w:tc>
          <w:tcPr>
            <w:tcW w:w="758" w:type="pct"/>
            <w:shd w:val="clear" w:color="auto" w:fill="auto"/>
          </w:tcPr>
          <w:p w14:paraId="74304A29" w14:textId="21221746" w:rsidR="004E322C" w:rsidRDefault="004E322C" w:rsidP="0095284D">
            <w:pPr>
              <w:pStyle w:val="TableEntry"/>
              <w:suppressAutoHyphens/>
              <w:rPr>
                <w:szCs w:val="18"/>
              </w:rPr>
            </w:pPr>
            <w:r>
              <w:rPr>
                <w:szCs w:val="18"/>
              </w:rPr>
              <w:t>Stakeholder workshop</w:t>
            </w:r>
          </w:p>
        </w:tc>
        <w:tc>
          <w:tcPr>
            <w:tcW w:w="779" w:type="pct"/>
            <w:shd w:val="clear" w:color="auto" w:fill="auto"/>
          </w:tcPr>
          <w:p w14:paraId="33E3A156" w14:textId="77777777" w:rsidR="004E322C" w:rsidRDefault="004E322C" w:rsidP="00983B27">
            <w:pPr>
              <w:pStyle w:val="TableEntry"/>
              <w:suppressAutoHyphens/>
              <w:rPr>
                <w:szCs w:val="18"/>
              </w:rPr>
            </w:pPr>
            <w:r>
              <w:rPr>
                <w:szCs w:val="18"/>
              </w:rPr>
              <w:t xml:space="preserve">All major commercial centers across the country. </w:t>
            </w:r>
          </w:p>
          <w:p w14:paraId="3EB12FF7" w14:textId="77777777" w:rsidR="004E322C" w:rsidRDefault="004E322C" w:rsidP="00983B27">
            <w:pPr>
              <w:pStyle w:val="TableEntry"/>
              <w:suppressAutoHyphens/>
              <w:rPr>
                <w:szCs w:val="18"/>
              </w:rPr>
            </w:pPr>
          </w:p>
          <w:p w14:paraId="7B9A0CB7" w14:textId="2E89FAC3" w:rsidR="004E322C" w:rsidRDefault="004E322C" w:rsidP="0095284D">
            <w:pPr>
              <w:pStyle w:val="TableEntry"/>
              <w:suppressAutoHyphens/>
              <w:rPr>
                <w:szCs w:val="18"/>
              </w:rPr>
            </w:pPr>
            <w:r>
              <w:rPr>
                <w:szCs w:val="18"/>
              </w:rPr>
              <w:t xml:space="preserve">A consultation would be held prior to the design phase and another round would take place to present the final product after incorporation of the stakeholder’s feedback. </w:t>
            </w:r>
          </w:p>
        </w:tc>
        <w:tc>
          <w:tcPr>
            <w:tcW w:w="1073" w:type="pct"/>
            <w:shd w:val="clear" w:color="auto" w:fill="auto"/>
          </w:tcPr>
          <w:p w14:paraId="5FE6B234" w14:textId="7E65D11E" w:rsidR="004E322C" w:rsidRDefault="004E322C" w:rsidP="0095284D">
            <w:pPr>
              <w:pStyle w:val="TableEntry"/>
              <w:suppressAutoHyphens/>
              <w:rPr>
                <w:szCs w:val="18"/>
              </w:rPr>
            </w:pPr>
            <w:r>
              <w:rPr>
                <w:szCs w:val="18"/>
              </w:rPr>
              <w:t>TDAP</w:t>
            </w:r>
          </w:p>
        </w:tc>
      </w:tr>
    </w:tbl>
    <w:p w14:paraId="356F1E9F" w14:textId="77777777" w:rsidR="00D710F5" w:rsidRDefault="00D710F5" w:rsidP="00D710F5">
      <w:pPr>
        <w:pStyle w:val="Heading3"/>
      </w:pPr>
      <w:bookmarkStart w:id="62" w:name="_Toc430790374"/>
      <w:bookmarkStart w:id="63" w:name="_Toc436419363"/>
      <w:bookmarkStart w:id="64" w:name="_Toc452826929"/>
      <w:r w:rsidRPr="00BA173C">
        <w:t>Proposed strategy / differentiated measures to include the views of and encourage participation by vulnerable groups</w:t>
      </w:r>
      <w:bookmarkEnd w:id="62"/>
      <w:bookmarkEnd w:id="63"/>
      <w:bookmarkEnd w:id="64"/>
    </w:p>
    <w:p w14:paraId="02F68AEA" w14:textId="1DC71B62" w:rsidR="00D710F5" w:rsidRDefault="00DE65C3" w:rsidP="003E3DFE">
      <w:pPr>
        <w:pStyle w:val="BodyText"/>
        <w:jc w:val="both"/>
      </w:pPr>
      <w:r>
        <w:t>There is a need to make a special effort to reach out to women and minority owned businesses</w:t>
      </w:r>
      <w:r w:rsidR="00265D13">
        <w:t xml:space="preserve"> to encourage them to avail of export intelligence </w:t>
      </w:r>
      <w:r w:rsidR="00F455AA">
        <w:t>services and</w:t>
      </w:r>
      <w:r w:rsidR="00265D13">
        <w:t xml:space="preserve"> facilitate them in using the Pakistan Business Portal</w:t>
      </w:r>
      <w:r>
        <w:t>.  All stakeholders will be sensitized in this regard, and the efforts to reach these parties will be monitored.</w:t>
      </w:r>
    </w:p>
    <w:p w14:paraId="473BDB9E" w14:textId="77777777" w:rsidR="00D710F5" w:rsidRDefault="00D710F5" w:rsidP="003E3DFE">
      <w:pPr>
        <w:pStyle w:val="Heading3"/>
        <w:jc w:val="both"/>
      </w:pPr>
      <w:bookmarkStart w:id="65" w:name="_Toc430790375"/>
      <w:bookmarkStart w:id="66" w:name="_Toc436419364"/>
      <w:bookmarkStart w:id="67" w:name="_Toc452826930"/>
      <w:r>
        <w:lastRenderedPageBreak/>
        <w:t>Review of Comments</w:t>
      </w:r>
      <w:bookmarkEnd w:id="65"/>
      <w:bookmarkEnd w:id="66"/>
      <w:bookmarkEnd w:id="67"/>
      <w:r>
        <w:t xml:space="preserve"> </w:t>
      </w:r>
    </w:p>
    <w:p w14:paraId="5E652779" w14:textId="019B7EF4" w:rsidR="00D710F5" w:rsidRDefault="00D710F5" w:rsidP="003E3DFE">
      <w:pPr>
        <w:pStyle w:val="BodyText"/>
        <w:jc w:val="both"/>
      </w:pPr>
      <w:r>
        <w:t xml:space="preserve">The notes and comments from consultations would be noted and recorded by the officials of </w:t>
      </w:r>
      <w:r w:rsidR="008F4B65">
        <w:t>MOC</w:t>
      </w:r>
      <w:r w:rsidR="00DE65C3">
        <w:t xml:space="preserve"> </w:t>
      </w:r>
      <w:r w:rsidR="00FD7C87">
        <w:t>and later</w:t>
      </w:r>
      <w:r>
        <w:t xml:space="preserve"> by the </w:t>
      </w:r>
      <w:r w:rsidR="00DE65C3">
        <w:t>SSU</w:t>
      </w:r>
      <w:r>
        <w:t xml:space="preserve">.  These would be finalized in consultation with key stakeholders who attended the meetings.  Key issues raised will be separated according to departmental or division </w:t>
      </w:r>
      <w:r w:rsidR="00912AF4">
        <w:t>responsibility and</w:t>
      </w:r>
      <w:r>
        <w:t xml:space="preserve"> referred to the concerned focal points where action is required.  There will be a timeframe for response, with </w:t>
      </w:r>
      <w:r w:rsidR="00DE65C3">
        <w:t>SSU</w:t>
      </w:r>
      <w:r>
        <w:t xml:space="preserve"> following up to ensure that the responses are secured and communicated. </w:t>
      </w:r>
    </w:p>
    <w:p w14:paraId="69A82D16" w14:textId="5CCEF6B5" w:rsidR="00D710F5" w:rsidRPr="00FD16CE" w:rsidRDefault="00D710F5" w:rsidP="003E3DFE">
      <w:pPr>
        <w:pStyle w:val="BodyText"/>
        <w:jc w:val="both"/>
      </w:pPr>
      <w:r>
        <w:t xml:space="preserve">A summary of workshop/consultation proceedings documenting questions and concerns raised by the affected parties will be presented to the World Bank and senior management of </w:t>
      </w:r>
      <w:r w:rsidR="008F4B65">
        <w:t>MOC</w:t>
      </w:r>
      <w:r>
        <w:t xml:space="preserve">, which would then guide the program intervention. Specialist note takers will capture the discussion carried out in these consultation </w:t>
      </w:r>
      <w:r w:rsidR="00912AF4">
        <w:t>workshops and</w:t>
      </w:r>
      <w:r>
        <w:t xml:space="preserve"> present the findings in the form of a report.   All such reports will be sent to stakeholders </w:t>
      </w:r>
      <w:proofErr w:type="gramStart"/>
      <w:r>
        <w:t>and also</w:t>
      </w:r>
      <w:proofErr w:type="gramEnd"/>
      <w:r>
        <w:t xml:space="preserve"> uploaded on the ministry website.</w:t>
      </w:r>
    </w:p>
    <w:p w14:paraId="73D6A6EA" w14:textId="77777777" w:rsidR="00D710F5" w:rsidRDefault="00D710F5" w:rsidP="003E3DFE">
      <w:pPr>
        <w:pStyle w:val="Heading1"/>
        <w:jc w:val="both"/>
      </w:pPr>
      <w:bookmarkStart w:id="68" w:name="_Toc17966129"/>
      <w:bookmarkStart w:id="69" w:name="_Toc430790377"/>
      <w:bookmarkStart w:id="70" w:name="_Toc436419365"/>
      <w:bookmarkStart w:id="71" w:name="_Toc452826931"/>
      <w:r w:rsidRPr="00AD539C">
        <w:t>Roles, Responsibilities and Resources for Stakeholder Engagement</w:t>
      </w:r>
      <w:bookmarkEnd w:id="68"/>
      <w:bookmarkEnd w:id="69"/>
      <w:bookmarkEnd w:id="70"/>
      <w:bookmarkEnd w:id="71"/>
      <w:r>
        <w:t xml:space="preserve"> </w:t>
      </w:r>
    </w:p>
    <w:p w14:paraId="0CCE5DDD" w14:textId="5B15A052" w:rsidR="00D710F5" w:rsidRDefault="00D710F5" w:rsidP="003E3DFE">
      <w:pPr>
        <w:pStyle w:val="BodyText"/>
        <w:jc w:val="both"/>
      </w:pPr>
      <w:r>
        <w:t xml:space="preserve">The </w:t>
      </w:r>
      <w:r w:rsidR="008F4B65">
        <w:t>MOC</w:t>
      </w:r>
      <w:r>
        <w:t xml:space="preserve"> as the lead agency would be responsible for overseeing the stakeholder engagements. A team would be designated by the </w:t>
      </w:r>
      <w:r w:rsidR="008F4B65">
        <w:t>MOC</w:t>
      </w:r>
      <w:r>
        <w:t xml:space="preserve"> or </w:t>
      </w:r>
      <w:r w:rsidR="00FD7C87">
        <w:t>SSU</w:t>
      </w:r>
      <w:r>
        <w:t xml:space="preserve"> for the purpose, comprising communications experts and departmental focal points.  The team would be drawn from the </w:t>
      </w:r>
      <w:r w:rsidR="008F4B65">
        <w:t>MOC</w:t>
      </w:r>
      <w:r>
        <w:t xml:space="preserve"> resources across Pakistan so that the stakeholder engagement is completed in a timely manner. The contact details, mechanisms and a system of feedback would be notified during the finalization of the stakeholder engagement plan. The SEP would also entail significant cost, as workshops and consultative sessions would need to be conducted in various cities of Pakistan. Engagement for individual </w:t>
      </w:r>
      <w:r w:rsidR="00590EFC">
        <w:t xml:space="preserve">PBCs </w:t>
      </w:r>
      <w:r>
        <w:t xml:space="preserve">would determine which organizations would lead the effort of stakeholder engagement. </w:t>
      </w:r>
    </w:p>
    <w:p w14:paraId="16819A1D" w14:textId="77777777" w:rsidR="00D710F5" w:rsidRDefault="00D710F5" w:rsidP="00D710F5">
      <w:pPr>
        <w:pStyle w:val="BodyText"/>
      </w:pPr>
    </w:p>
    <w:p w14:paraId="05020DE6" w14:textId="77777777" w:rsidR="00D710F5" w:rsidRDefault="00D710F5" w:rsidP="00D710F5">
      <w:pPr>
        <w:pStyle w:val="TableTitle"/>
      </w:pPr>
      <w:r>
        <w:t>Table 6.1:  Roles and Responsibilities</w:t>
      </w:r>
    </w:p>
    <w:tbl>
      <w:tblPr>
        <w:tblW w:w="5001" w:type="pct"/>
        <w:jc w:val="center"/>
        <w:tblBorders>
          <w:top w:val="single" w:sz="8" w:space="0" w:color="auto"/>
          <w:bottom w:val="single" w:sz="8" w:space="0" w:color="auto"/>
          <w:insideH w:val="dotted" w:sz="8" w:space="0" w:color="auto"/>
        </w:tblBorders>
        <w:tblLayout w:type="fixed"/>
        <w:tblCellMar>
          <w:left w:w="72" w:type="dxa"/>
          <w:right w:w="72" w:type="dxa"/>
        </w:tblCellMar>
        <w:tblLook w:val="04A0" w:firstRow="1" w:lastRow="0" w:firstColumn="1" w:lastColumn="0" w:noHBand="0" w:noVBand="1"/>
      </w:tblPr>
      <w:tblGrid>
        <w:gridCol w:w="4962"/>
        <w:gridCol w:w="3680"/>
      </w:tblGrid>
      <w:tr w:rsidR="00D710F5" w:rsidRPr="00756D15" w14:paraId="3954F4A5" w14:textId="77777777" w:rsidTr="0095284D">
        <w:trPr>
          <w:jc w:val="center"/>
        </w:trPr>
        <w:tc>
          <w:tcPr>
            <w:tcW w:w="2871" w:type="pct"/>
            <w:shd w:val="clear" w:color="auto" w:fill="auto"/>
          </w:tcPr>
          <w:p w14:paraId="3ADBEF58" w14:textId="67B44832" w:rsidR="00D710F5" w:rsidRPr="00141E01" w:rsidRDefault="00D710F5" w:rsidP="0095284D">
            <w:pPr>
              <w:pStyle w:val="TableHead"/>
              <w:suppressAutoHyphens/>
              <w:rPr>
                <w:szCs w:val="18"/>
              </w:rPr>
            </w:pPr>
            <w:r w:rsidRPr="00141E01">
              <w:rPr>
                <w:szCs w:val="18"/>
              </w:rPr>
              <w:t>Activities/</w:t>
            </w:r>
            <w:r w:rsidR="0074167D">
              <w:rPr>
                <w:szCs w:val="18"/>
              </w:rPr>
              <w:t>PBC</w:t>
            </w:r>
            <w:r w:rsidRPr="00141E01">
              <w:rPr>
                <w:szCs w:val="18"/>
              </w:rPr>
              <w:t>s</w:t>
            </w:r>
          </w:p>
        </w:tc>
        <w:tc>
          <w:tcPr>
            <w:tcW w:w="2129" w:type="pct"/>
            <w:shd w:val="clear" w:color="auto" w:fill="auto"/>
          </w:tcPr>
          <w:p w14:paraId="2279E50D" w14:textId="77777777" w:rsidR="00D710F5" w:rsidRPr="00141E01" w:rsidRDefault="00D710F5" w:rsidP="0095284D">
            <w:pPr>
              <w:pStyle w:val="TableHead"/>
              <w:suppressAutoHyphens/>
              <w:rPr>
                <w:szCs w:val="18"/>
              </w:rPr>
            </w:pPr>
            <w:r w:rsidRPr="00141E01">
              <w:rPr>
                <w:szCs w:val="18"/>
              </w:rPr>
              <w:t>Responsibilities</w:t>
            </w:r>
          </w:p>
        </w:tc>
      </w:tr>
      <w:tr w:rsidR="00D710F5" w:rsidRPr="004843DA" w14:paraId="05F8245B" w14:textId="77777777" w:rsidTr="0095284D">
        <w:trPr>
          <w:jc w:val="center"/>
        </w:trPr>
        <w:tc>
          <w:tcPr>
            <w:tcW w:w="2871" w:type="pct"/>
            <w:shd w:val="clear" w:color="auto" w:fill="auto"/>
          </w:tcPr>
          <w:p w14:paraId="0B3A3E61" w14:textId="329B90D9" w:rsidR="00D710F5" w:rsidRPr="00D61A7A" w:rsidRDefault="00835714" w:rsidP="0095284D">
            <w:pPr>
              <w:pStyle w:val="TableEntry"/>
            </w:pPr>
            <w:r w:rsidRPr="00835714">
              <w:t xml:space="preserve">Establishment of </w:t>
            </w:r>
            <w:r w:rsidR="00CF574F">
              <w:t>PGG Board</w:t>
            </w:r>
            <w:r w:rsidRPr="00835714">
              <w:t xml:space="preserve"> </w:t>
            </w:r>
            <w:r w:rsidR="00D710F5" w:rsidRPr="00C949A6">
              <w:t>and creation of a Monitoring and Evaluation Center of Public Policies (under NCC)</w:t>
            </w:r>
          </w:p>
          <w:p w14:paraId="5477B9F2" w14:textId="77777777" w:rsidR="00D710F5" w:rsidRPr="00C949A6" w:rsidRDefault="00D710F5" w:rsidP="0095284D">
            <w:pPr>
              <w:pStyle w:val="TableEntry"/>
            </w:pPr>
          </w:p>
        </w:tc>
        <w:tc>
          <w:tcPr>
            <w:tcW w:w="2129" w:type="pct"/>
            <w:shd w:val="clear" w:color="auto" w:fill="auto"/>
          </w:tcPr>
          <w:p w14:paraId="10256749" w14:textId="0A42A146" w:rsidR="00D710F5" w:rsidRPr="00C949A6" w:rsidRDefault="008F4B65" w:rsidP="00FD7C87">
            <w:pPr>
              <w:pStyle w:val="TableEntry"/>
              <w:jc w:val="center"/>
            </w:pPr>
            <w:r>
              <w:t>MOC</w:t>
            </w:r>
          </w:p>
        </w:tc>
      </w:tr>
      <w:tr w:rsidR="00D710F5" w:rsidRPr="004843DA" w14:paraId="7B5902E1" w14:textId="77777777" w:rsidTr="0095284D">
        <w:trPr>
          <w:jc w:val="center"/>
        </w:trPr>
        <w:tc>
          <w:tcPr>
            <w:tcW w:w="2871" w:type="pct"/>
            <w:shd w:val="clear" w:color="auto" w:fill="auto"/>
          </w:tcPr>
          <w:p w14:paraId="192F976B" w14:textId="66111CF9" w:rsidR="00D710F5" w:rsidRPr="00C949A6" w:rsidRDefault="0068769B" w:rsidP="0095284D">
            <w:pPr>
              <w:pStyle w:val="TableEntry"/>
            </w:pPr>
            <w:r>
              <w:t>O</w:t>
            </w:r>
            <w:r w:rsidRPr="0068769B">
              <w:t xml:space="preserve">ne-stop shop for business licensing and registration </w:t>
            </w:r>
          </w:p>
          <w:p w14:paraId="51D09B3E" w14:textId="77777777" w:rsidR="00D710F5" w:rsidRPr="00C949A6" w:rsidRDefault="00D710F5" w:rsidP="0095284D">
            <w:pPr>
              <w:pStyle w:val="TableEntry"/>
            </w:pPr>
            <w:r w:rsidRPr="00C949A6">
              <w:t xml:space="preserve">Pakistan Business Platform and repayment systems would be introduced for facilitation of the business community. </w:t>
            </w:r>
          </w:p>
          <w:p w14:paraId="4AE07C47" w14:textId="77777777" w:rsidR="00D710F5" w:rsidRPr="00C949A6" w:rsidRDefault="00D710F5" w:rsidP="0095284D">
            <w:pPr>
              <w:pStyle w:val="TableEntry"/>
            </w:pPr>
          </w:p>
        </w:tc>
        <w:tc>
          <w:tcPr>
            <w:tcW w:w="2129" w:type="pct"/>
            <w:shd w:val="clear" w:color="auto" w:fill="auto"/>
          </w:tcPr>
          <w:p w14:paraId="210C9912" w14:textId="39915F5D" w:rsidR="00D710F5" w:rsidRPr="00C949A6" w:rsidRDefault="0068769B" w:rsidP="0095284D">
            <w:pPr>
              <w:pStyle w:val="TableEntry"/>
              <w:jc w:val="center"/>
            </w:pPr>
            <w:r>
              <w:t>MOC</w:t>
            </w:r>
          </w:p>
        </w:tc>
      </w:tr>
      <w:tr w:rsidR="00D710F5" w:rsidRPr="004843DA" w14:paraId="31A107D7" w14:textId="77777777" w:rsidTr="0095284D">
        <w:trPr>
          <w:jc w:val="center"/>
        </w:trPr>
        <w:tc>
          <w:tcPr>
            <w:tcW w:w="2871" w:type="pct"/>
            <w:shd w:val="clear" w:color="auto" w:fill="auto"/>
          </w:tcPr>
          <w:p w14:paraId="20D06C8C" w14:textId="4125339F" w:rsidR="00D710F5" w:rsidRPr="00C949A6" w:rsidRDefault="00835714" w:rsidP="0068769B">
            <w:pPr>
              <w:pStyle w:val="TableEntry"/>
            </w:pPr>
            <w:r w:rsidRPr="00835714">
              <w:t xml:space="preserve">Strengthening of </w:t>
            </w:r>
            <w:r w:rsidR="0068769B">
              <w:t>TPW and NTC</w:t>
            </w:r>
          </w:p>
        </w:tc>
        <w:tc>
          <w:tcPr>
            <w:tcW w:w="2129" w:type="pct"/>
            <w:shd w:val="clear" w:color="auto" w:fill="auto"/>
          </w:tcPr>
          <w:p w14:paraId="76E1059B" w14:textId="736D085B" w:rsidR="00D710F5" w:rsidRPr="00C949A6" w:rsidRDefault="0068769B" w:rsidP="0095284D">
            <w:pPr>
              <w:pStyle w:val="TableEntry"/>
              <w:jc w:val="center"/>
            </w:pPr>
            <w:r>
              <w:t>MOC/NTC</w:t>
            </w:r>
          </w:p>
        </w:tc>
      </w:tr>
      <w:tr w:rsidR="00D710F5" w:rsidRPr="004843DA" w14:paraId="5BA0B19A" w14:textId="77777777" w:rsidTr="0095284D">
        <w:trPr>
          <w:jc w:val="center"/>
        </w:trPr>
        <w:tc>
          <w:tcPr>
            <w:tcW w:w="2871" w:type="pct"/>
            <w:shd w:val="clear" w:color="auto" w:fill="auto"/>
          </w:tcPr>
          <w:p w14:paraId="09B698C1" w14:textId="696DF6A4" w:rsidR="00D710F5" w:rsidRPr="00C949A6" w:rsidRDefault="00030BF8" w:rsidP="0095284D">
            <w:pPr>
              <w:pStyle w:val="TableEntry"/>
            </w:pPr>
            <w:r>
              <w:t>Modernizing</w:t>
            </w:r>
            <w:r w:rsidR="00D710F5" w:rsidRPr="00C949A6">
              <w:t xml:space="preserve"> trade diplomacy through better incentive schemes and improving the perception of Pakistani brands in international markets.</w:t>
            </w:r>
          </w:p>
          <w:p w14:paraId="3D0EC8D4" w14:textId="77777777" w:rsidR="00D710F5" w:rsidRPr="00C949A6" w:rsidRDefault="00D710F5" w:rsidP="0095284D">
            <w:pPr>
              <w:pStyle w:val="TableEntry"/>
            </w:pPr>
            <w:r w:rsidRPr="00C949A6">
              <w:t xml:space="preserve"> </w:t>
            </w:r>
          </w:p>
          <w:p w14:paraId="7B3B4700" w14:textId="77777777" w:rsidR="00D710F5" w:rsidRPr="00C949A6" w:rsidRDefault="00D710F5" w:rsidP="0095284D">
            <w:pPr>
              <w:pStyle w:val="TableEntry"/>
            </w:pPr>
          </w:p>
        </w:tc>
        <w:tc>
          <w:tcPr>
            <w:tcW w:w="2129" w:type="pct"/>
            <w:shd w:val="clear" w:color="auto" w:fill="auto"/>
          </w:tcPr>
          <w:p w14:paraId="2C1FD0F9" w14:textId="38E67156" w:rsidR="00D710F5" w:rsidRPr="00C949A6" w:rsidRDefault="008F4B65" w:rsidP="00851FA5">
            <w:pPr>
              <w:pStyle w:val="TableEntry"/>
              <w:jc w:val="center"/>
            </w:pPr>
            <w:r>
              <w:t>MOC</w:t>
            </w:r>
          </w:p>
        </w:tc>
      </w:tr>
      <w:tr w:rsidR="00D710F5" w:rsidRPr="004843DA" w14:paraId="281F63F1" w14:textId="77777777" w:rsidTr="0095284D">
        <w:trPr>
          <w:jc w:val="center"/>
        </w:trPr>
        <w:tc>
          <w:tcPr>
            <w:tcW w:w="2871" w:type="pct"/>
            <w:shd w:val="clear" w:color="auto" w:fill="auto"/>
          </w:tcPr>
          <w:p w14:paraId="3ECA5649" w14:textId="574E7732" w:rsidR="00D710F5" w:rsidRPr="00C949A6" w:rsidRDefault="00030BF8" w:rsidP="0095284D">
            <w:pPr>
              <w:pStyle w:val="TableEntry"/>
            </w:pPr>
            <w:r>
              <w:t>Country</w:t>
            </w:r>
            <w:r w:rsidR="00D710F5" w:rsidRPr="00C949A6">
              <w:t xml:space="preserve"> branding campaign. The creation and implementation of a country branding campaign will directly contribute </w:t>
            </w:r>
            <w:r>
              <w:t>export promotion</w:t>
            </w:r>
            <w:r w:rsidR="00D710F5" w:rsidRPr="00C949A6">
              <w:t xml:space="preserve"> through increased visibility of </w:t>
            </w:r>
            <w:r w:rsidR="00D710F5" w:rsidRPr="00C949A6">
              <w:lastRenderedPageBreak/>
              <w:t xml:space="preserve">Pakistan as a source of export goods and services and as destination for investment.   </w:t>
            </w:r>
          </w:p>
          <w:p w14:paraId="735CF33A" w14:textId="77777777" w:rsidR="00D710F5" w:rsidRPr="00C949A6" w:rsidRDefault="00D710F5" w:rsidP="0095284D">
            <w:pPr>
              <w:pStyle w:val="TableEntry"/>
            </w:pPr>
            <w:r w:rsidRPr="00C949A6">
              <w:t>.</w:t>
            </w:r>
          </w:p>
        </w:tc>
        <w:tc>
          <w:tcPr>
            <w:tcW w:w="2129" w:type="pct"/>
            <w:shd w:val="clear" w:color="auto" w:fill="auto"/>
          </w:tcPr>
          <w:p w14:paraId="4FEBE790" w14:textId="1F1365A3" w:rsidR="00D710F5" w:rsidRPr="00C949A6" w:rsidRDefault="00851FA5" w:rsidP="0095284D">
            <w:pPr>
              <w:pStyle w:val="TableEntry"/>
              <w:jc w:val="center"/>
            </w:pPr>
            <w:r>
              <w:lastRenderedPageBreak/>
              <w:t>TDA</w:t>
            </w:r>
            <w:r w:rsidR="00D710F5" w:rsidRPr="00C949A6">
              <w:t>P</w:t>
            </w:r>
          </w:p>
        </w:tc>
      </w:tr>
      <w:tr w:rsidR="004E322C" w:rsidRPr="004843DA" w14:paraId="04EE8BB7" w14:textId="77777777" w:rsidTr="0095284D">
        <w:trPr>
          <w:jc w:val="center"/>
        </w:trPr>
        <w:tc>
          <w:tcPr>
            <w:tcW w:w="2871" w:type="pct"/>
            <w:shd w:val="clear" w:color="auto" w:fill="auto"/>
          </w:tcPr>
          <w:p w14:paraId="374BC5DE" w14:textId="7B96C7D4" w:rsidR="004E322C" w:rsidRDefault="0068769B" w:rsidP="004E322C">
            <w:pPr>
              <w:pStyle w:val="TableEntry"/>
            </w:pPr>
            <w:r>
              <w:t>Export intelligence services</w:t>
            </w:r>
          </w:p>
          <w:p w14:paraId="70F2AAD7" w14:textId="77777777" w:rsidR="004E322C" w:rsidRDefault="004E322C" w:rsidP="004E322C">
            <w:pPr>
              <w:pStyle w:val="TableEntry"/>
            </w:pPr>
          </w:p>
          <w:p w14:paraId="2890E81A" w14:textId="77777777" w:rsidR="004E322C" w:rsidRDefault="004E322C" w:rsidP="004E322C">
            <w:pPr>
              <w:pStyle w:val="TableEntry"/>
            </w:pPr>
            <w:r>
              <w:t>Activity seeks to enhance exports through establishment of linkages between the local exporters and international buyers.  An export intelligence platform would be rolled out which would be used for: match making of domestic exports and international buyers, and provision of information on various aspects of export markets</w:t>
            </w:r>
          </w:p>
          <w:p w14:paraId="2F71BDF3" w14:textId="77777777" w:rsidR="004E322C" w:rsidRDefault="004E322C" w:rsidP="00030BF8">
            <w:pPr>
              <w:pStyle w:val="TableEntry"/>
            </w:pPr>
          </w:p>
        </w:tc>
        <w:tc>
          <w:tcPr>
            <w:tcW w:w="2129" w:type="pct"/>
            <w:shd w:val="clear" w:color="auto" w:fill="auto"/>
          </w:tcPr>
          <w:p w14:paraId="3990D956" w14:textId="5A24F9CC" w:rsidR="004E322C" w:rsidRPr="00C949A6" w:rsidRDefault="004E322C" w:rsidP="0095284D">
            <w:pPr>
              <w:pStyle w:val="TableEntry"/>
              <w:jc w:val="center"/>
            </w:pPr>
            <w:r>
              <w:t>TDAP</w:t>
            </w:r>
          </w:p>
        </w:tc>
      </w:tr>
    </w:tbl>
    <w:p w14:paraId="784E2EEE" w14:textId="77777777" w:rsidR="00D710F5" w:rsidRDefault="00D710F5" w:rsidP="00D70AC2">
      <w:pPr>
        <w:pStyle w:val="Heading2"/>
      </w:pPr>
      <w:bookmarkStart w:id="72" w:name="_Toc17966131"/>
      <w:bookmarkStart w:id="73" w:name="_Toc430790378"/>
      <w:bookmarkStart w:id="74" w:name="_Toc436419366"/>
      <w:bookmarkStart w:id="75" w:name="_Toc452826932"/>
      <w:r w:rsidRPr="00BA173C">
        <w:t>R</w:t>
      </w:r>
      <w:r>
        <w:t>esources</w:t>
      </w:r>
      <w:bookmarkEnd w:id="72"/>
      <w:bookmarkEnd w:id="73"/>
      <w:bookmarkEnd w:id="74"/>
      <w:bookmarkEnd w:id="75"/>
    </w:p>
    <w:p w14:paraId="2BBA1625" w14:textId="1B603D1A" w:rsidR="0092166F" w:rsidRDefault="006E016C" w:rsidP="00037151">
      <w:pPr>
        <w:jc w:val="both"/>
      </w:pPr>
      <w:r w:rsidRPr="006E016C">
        <w:t xml:space="preserve"> </w:t>
      </w:r>
      <w:r w:rsidR="0092166F">
        <w:t xml:space="preserve">A budget estimate for implementation of stakeholder engagement along the project cycle is presented below. Locations of stakeholder engagement sessions are </w:t>
      </w:r>
      <w:r w:rsidR="00037151">
        <w:t>preliminarily</w:t>
      </w:r>
      <w:r w:rsidR="0092166F">
        <w:t xml:space="preserve"> identified below. This is subject to revisions as additional information is obtained. </w:t>
      </w:r>
    </w:p>
    <w:tbl>
      <w:tblPr>
        <w:tblStyle w:val="TableGrid"/>
        <w:tblW w:w="0" w:type="auto"/>
        <w:tblLook w:val="04A0" w:firstRow="1" w:lastRow="0" w:firstColumn="1" w:lastColumn="0" w:noHBand="0" w:noVBand="1"/>
      </w:tblPr>
      <w:tblGrid>
        <w:gridCol w:w="1785"/>
        <w:gridCol w:w="1612"/>
        <w:gridCol w:w="1519"/>
        <w:gridCol w:w="1291"/>
        <w:gridCol w:w="1196"/>
        <w:gridCol w:w="1237"/>
      </w:tblGrid>
      <w:tr w:rsidR="006E016C" w14:paraId="732F77E6" w14:textId="77777777" w:rsidTr="0092166F">
        <w:tc>
          <w:tcPr>
            <w:tcW w:w="1785" w:type="dxa"/>
          </w:tcPr>
          <w:p w14:paraId="0074F57E" w14:textId="77777777" w:rsidR="006E016C" w:rsidRPr="009C490A" w:rsidRDefault="006E016C" w:rsidP="00921AF1">
            <w:pPr>
              <w:rPr>
                <w:rFonts w:cs="Arial"/>
                <w:sz w:val="18"/>
                <w:szCs w:val="18"/>
              </w:rPr>
            </w:pPr>
            <w:r w:rsidRPr="009C490A">
              <w:rPr>
                <w:rFonts w:cs="Arial"/>
                <w:sz w:val="18"/>
                <w:szCs w:val="18"/>
              </w:rPr>
              <w:t>Stage of Project Cycle</w:t>
            </w:r>
          </w:p>
        </w:tc>
        <w:tc>
          <w:tcPr>
            <w:tcW w:w="1612" w:type="dxa"/>
          </w:tcPr>
          <w:p w14:paraId="21FA9F65" w14:textId="77777777" w:rsidR="006E016C" w:rsidRPr="009C490A" w:rsidRDefault="006E016C" w:rsidP="00921AF1">
            <w:pPr>
              <w:rPr>
                <w:rFonts w:cs="Arial"/>
                <w:sz w:val="18"/>
                <w:szCs w:val="18"/>
              </w:rPr>
            </w:pPr>
            <w:r w:rsidRPr="009C490A">
              <w:rPr>
                <w:rFonts w:cs="Arial"/>
                <w:sz w:val="18"/>
                <w:szCs w:val="18"/>
              </w:rPr>
              <w:t>Activity</w:t>
            </w:r>
          </w:p>
        </w:tc>
        <w:tc>
          <w:tcPr>
            <w:tcW w:w="1519" w:type="dxa"/>
          </w:tcPr>
          <w:p w14:paraId="26C19726" w14:textId="77777777" w:rsidR="006E016C" w:rsidRPr="009C490A" w:rsidRDefault="006E016C" w:rsidP="00921AF1">
            <w:pPr>
              <w:rPr>
                <w:rFonts w:cs="Arial"/>
                <w:sz w:val="18"/>
                <w:szCs w:val="18"/>
              </w:rPr>
            </w:pPr>
            <w:r w:rsidRPr="009C490A">
              <w:rPr>
                <w:rFonts w:cs="Arial"/>
                <w:sz w:val="18"/>
                <w:szCs w:val="18"/>
              </w:rPr>
              <w:t>Location</w:t>
            </w:r>
          </w:p>
        </w:tc>
        <w:tc>
          <w:tcPr>
            <w:tcW w:w="1291" w:type="dxa"/>
          </w:tcPr>
          <w:p w14:paraId="6BD04749" w14:textId="77777777" w:rsidR="006E016C" w:rsidRPr="009C490A" w:rsidRDefault="006E016C" w:rsidP="00921AF1">
            <w:pPr>
              <w:rPr>
                <w:rFonts w:cs="Arial"/>
                <w:sz w:val="18"/>
                <w:szCs w:val="18"/>
              </w:rPr>
            </w:pPr>
            <w:r w:rsidRPr="009C490A">
              <w:rPr>
                <w:rFonts w:cs="Arial"/>
                <w:sz w:val="18"/>
                <w:szCs w:val="18"/>
              </w:rPr>
              <w:t>Unit</w:t>
            </w:r>
          </w:p>
        </w:tc>
        <w:tc>
          <w:tcPr>
            <w:tcW w:w="1196" w:type="dxa"/>
          </w:tcPr>
          <w:p w14:paraId="304B9FBD" w14:textId="77777777" w:rsidR="006E016C" w:rsidRPr="009C490A" w:rsidRDefault="006E016C" w:rsidP="00921AF1">
            <w:pPr>
              <w:rPr>
                <w:rFonts w:cs="Arial"/>
                <w:sz w:val="18"/>
                <w:szCs w:val="18"/>
              </w:rPr>
            </w:pPr>
            <w:r w:rsidRPr="009C490A">
              <w:rPr>
                <w:rFonts w:cs="Arial"/>
                <w:sz w:val="18"/>
                <w:szCs w:val="18"/>
              </w:rPr>
              <w:t>Unit Cost (US$)</w:t>
            </w:r>
          </w:p>
        </w:tc>
        <w:tc>
          <w:tcPr>
            <w:tcW w:w="1237" w:type="dxa"/>
          </w:tcPr>
          <w:p w14:paraId="603BDA38" w14:textId="77777777" w:rsidR="006E016C" w:rsidRPr="009C490A" w:rsidRDefault="006E016C" w:rsidP="00921AF1">
            <w:pPr>
              <w:rPr>
                <w:rFonts w:cs="Arial"/>
                <w:sz w:val="18"/>
                <w:szCs w:val="18"/>
              </w:rPr>
            </w:pPr>
            <w:r w:rsidRPr="009C490A">
              <w:rPr>
                <w:rFonts w:cs="Arial"/>
                <w:sz w:val="18"/>
                <w:szCs w:val="18"/>
              </w:rPr>
              <w:t>Total</w:t>
            </w:r>
          </w:p>
        </w:tc>
      </w:tr>
      <w:tr w:rsidR="006E016C" w14:paraId="11488F9F" w14:textId="77777777" w:rsidTr="0092166F">
        <w:tc>
          <w:tcPr>
            <w:tcW w:w="1785" w:type="dxa"/>
          </w:tcPr>
          <w:p w14:paraId="7F179F6C" w14:textId="77777777" w:rsidR="006E016C" w:rsidRPr="009C490A" w:rsidRDefault="006E016C" w:rsidP="00921AF1">
            <w:pPr>
              <w:rPr>
                <w:rFonts w:cs="Arial"/>
                <w:sz w:val="18"/>
                <w:szCs w:val="18"/>
              </w:rPr>
            </w:pPr>
            <w:r w:rsidRPr="009C490A">
              <w:rPr>
                <w:rFonts w:cs="Arial"/>
                <w:sz w:val="18"/>
                <w:szCs w:val="18"/>
              </w:rPr>
              <w:t>Preparation</w:t>
            </w:r>
          </w:p>
        </w:tc>
        <w:tc>
          <w:tcPr>
            <w:tcW w:w="1612" w:type="dxa"/>
          </w:tcPr>
          <w:p w14:paraId="484BEF97" w14:textId="77777777" w:rsidR="006E016C" w:rsidRPr="009C490A" w:rsidRDefault="006E016C" w:rsidP="00921AF1">
            <w:pPr>
              <w:rPr>
                <w:rFonts w:cs="Arial"/>
                <w:sz w:val="18"/>
                <w:szCs w:val="18"/>
              </w:rPr>
            </w:pPr>
            <w:r w:rsidRPr="009C490A">
              <w:rPr>
                <w:rFonts w:cs="Arial"/>
                <w:sz w:val="18"/>
                <w:szCs w:val="18"/>
              </w:rPr>
              <w:t>Consultations with private sector stakeholders</w:t>
            </w:r>
          </w:p>
        </w:tc>
        <w:tc>
          <w:tcPr>
            <w:tcW w:w="1519" w:type="dxa"/>
          </w:tcPr>
          <w:p w14:paraId="2433495A" w14:textId="77777777" w:rsidR="006E016C" w:rsidRPr="009C490A" w:rsidRDefault="006E016C" w:rsidP="00921AF1">
            <w:pPr>
              <w:rPr>
                <w:rFonts w:cs="Arial"/>
                <w:sz w:val="18"/>
                <w:szCs w:val="18"/>
              </w:rPr>
            </w:pPr>
            <w:r w:rsidRPr="009C490A">
              <w:rPr>
                <w:rFonts w:cs="Arial"/>
                <w:sz w:val="18"/>
                <w:szCs w:val="18"/>
              </w:rPr>
              <w:t>Sialkot, Karachi</w:t>
            </w:r>
          </w:p>
        </w:tc>
        <w:tc>
          <w:tcPr>
            <w:tcW w:w="1291" w:type="dxa"/>
          </w:tcPr>
          <w:p w14:paraId="5E91BED6" w14:textId="77777777" w:rsidR="006E016C" w:rsidRPr="009C490A" w:rsidRDefault="006E016C" w:rsidP="00921AF1">
            <w:pPr>
              <w:rPr>
                <w:rFonts w:cs="Arial"/>
                <w:sz w:val="18"/>
                <w:szCs w:val="18"/>
              </w:rPr>
            </w:pPr>
            <w:r w:rsidRPr="009C490A">
              <w:rPr>
                <w:rFonts w:cs="Arial"/>
                <w:sz w:val="18"/>
                <w:szCs w:val="18"/>
              </w:rPr>
              <w:t>Per meeting</w:t>
            </w:r>
          </w:p>
        </w:tc>
        <w:tc>
          <w:tcPr>
            <w:tcW w:w="1196" w:type="dxa"/>
          </w:tcPr>
          <w:p w14:paraId="1852F9FA" w14:textId="77777777" w:rsidR="006E016C" w:rsidRPr="009C490A" w:rsidRDefault="006E016C" w:rsidP="00921AF1">
            <w:pPr>
              <w:rPr>
                <w:rFonts w:cs="Arial"/>
                <w:sz w:val="18"/>
                <w:szCs w:val="18"/>
              </w:rPr>
            </w:pPr>
            <w:r w:rsidRPr="009C490A">
              <w:rPr>
                <w:rFonts w:cs="Arial"/>
                <w:sz w:val="18"/>
                <w:szCs w:val="18"/>
              </w:rPr>
              <w:t>3,000</w:t>
            </w:r>
          </w:p>
        </w:tc>
        <w:tc>
          <w:tcPr>
            <w:tcW w:w="1237" w:type="dxa"/>
          </w:tcPr>
          <w:p w14:paraId="424CA451" w14:textId="77777777" w:rsidR="006E016C" w:rsidRPr="009C490A" w:rsidRDefault="006E016C" w:rsidP="00921AF1">
            <w:pPr>
              <w:rPr>
                <w:rFonts w:cs="Arial"/>
                <w:sz w:val="18"/>
                <w:szCs w:val="18"/>
              </w:rPr>
            </w:pPr>
            <w:r w:rsidRPr="009C490A">
              <w:rPr>
                <w:rFonts w:cs="Arial"/>
                <w:sz w:val="18"/>
                <w:szCs w:val="18"/>
              </w:rPr>
              <w:t>6,000</w:t>
            </w:r>
          </w:p>
        </w:tc>
      </w:tr>
      <w:tr w:rsidR="006E016C" w14:paraId="3E1873F0" w14:textId="77777777" w:rsidTr="0092166F">
        <w:tc>
          <w:tcPr>
            <w:tcW w:w="1785" w:type="dxa"/>
          </w:tcPr>
          <w:p w14:paraId="27BA7239" w14:textId="77777777" w:rsidR="006E016C" w:rsidRPr="009C490A" w:rsidRDefault="006E016C" w:rsidP="00921AF1">
            <w:pPr>
              <w:rPr>
                <w:rFonts w:cs="Arial"/>
                <w:sz w:val="18"/>
                <w:szCs w:val="18"/>
              </w:rPr>
            </w:pPr>
            <w:r w:rsidRPr="009C490A">
              <w:rPr>
                <w:rFonts w:cs="Arial"/>
                <w:sz w:val="18"/>
                <w:szCs w:val="18"/>
              </w:rPr>
              <w:t>Implementation (first four years)</w:t>
            </w:r>
          </w:p>
        </w:tc>
        <w:tc>
          <w:tcPr>
            <w:tcW w:w="1612" w:type="dxa"/>
          </w:tcPr>
          <w:p w14:paraId="36BCB5AC" w14:textId="77777777" w:rsidR="006E016C" w:rsidRPr="009C490A" w:rsidRDefault="006E016C" w:rsidP="00921AF1">
            <w:pPr>
              <w:rPr>
                <w:rFonts w:cs="Arial"/>
                <w:sz w:val="18"/>
                <w:szCs w:val="18"/>
              </w:rPr>
            </w:pPr>
            <w:r w:rsidRPr="009C490A">
              <w:rPr>
                <w:rFonts w:cs="Arial"/>
                <w:sz w:val="18"/>
                <w:szCs w:val="18"/>
              </w:rPr>
              <w:t>Consultations with private sector stakeholders (quarterly, 16 meetings in total, one per quarter)</w:t>
            </w:r>
          </w:p>
        </w:tc>
        <w:tc>
          <w:tcPr>
            <w:tcW w:w="1519" w:type="dxa"/>
          </w:tcPr>
          <w:p w14:paraId="00924D79" w14:textId="77777777" w:rsidR="006E016C" w:rsidRPr="009C490A" w:rsidRDefault="006E016C" w:rsidP="00921AF1">
            <w:pPr>
              <w:rPr>
                <w:rFonts w:cs="Arial"/>
                <w:sz w:val="18"/>
                <w:szCs w:val="18"/>
              </w:rPr>
            </w:pPr>
            <w:r w:rsidRPr="009C490A">
              <w:rPr>
                <w:rFonts w:cs="Arial"/>
                <w:sz w:val="18"/>
                <w:szCs w:val="18"/>
              </w:rPr>
              <w:t>Karachi, Sialkot, Quetta, Rawalpindi, Lahore, Faisalabad, Peshawar (on rolling basis)</w:t>
            </w:r>
          </w:p>
        </w:tc>
        <w:tc>
          <w:tcPr>
            <w:tcW w:w="1291" w:type="dxa"/>
          </w:tcPr>
          <w:p w14:paraId="07B2C119" w14:textId="77777777" w:rsidR="006E016C" w:rsidRPr="009C490A" w:rsidRDefault="006E016C" w:rsidP="00921AF1">
            <w:pPr>
              <w:rPr>
                <w:rFonts w:cs="Arial"/>
                <w:sz w:val="18"/>
                <w:szCs w:val="18"/>
              </w:rPr>
            </w:pPr>
            <w:r w:rsidRPr="009C490A">
              <w:rPr>
                <w:rFonts w:cs="Arial"/>
                <w:sz w:val="18"/>
                <w:szCs w:val="18"/>
              </w:rPr>
              <w:t>Per meeting</w:t>
            </w:r>
          </w:p>
        </w:tc>
        <w:tc>
          <w:tcPr>
            <w:tcW w:w="1196" w:type="dxa"/>
          </w:tcPr>
          <w:p w14:paraId="6FA6A104" w14:textId="77777777" w:rsidR="006E016C" w:rsidRPr="009C490A" w:rsidRDefault="006E016C" w:rsidP="00921AF1">
            <w:pPr>
              <w:rPr>
                <w:rFonts w:cs="Arial"/>
                <w:sz w:val="18"/>
                <w:szCs w:val="18"/>
              </w:rPr>
            </w:pPr>
            <w:r w:rsidRPr="009C490A">
              <w:rPr>
                <w:rFonts w:cs="Arial"/>
                <w:sz w:val="18"/>
                <w:szCs w:val="18"/>
              </w:rPr>
              <w:t>3,000</w:t>
            </w:r>
          </w:p>
        </w:tc>
        <w:tc>
          <w:tcPr>
            <w:tcW w:w="1237" w:type="dxa"/>
          </w:tcPr>
          <w:p w14:paraId="667BFFFD" w14:textId="77777777" w:rsidR="006E016C" w:rsidRPr="009C490A" w:rsidRDefault="006E016C" w:rsidP="00921AF1">
            <w:pPr>
              <w:rPr>
                <w:rFonts w:cs="Arial"/>
                <w:sz w:val="18"/>
                <w:szCs w:val="18"/>
              </w:rPr>
            </w:pPr>
            <w:r w:rsidRPr="009C490A">
              <w:rPr>
                <w:rFonts w:cs="Arial"/>
                <w:sz w:val="18"/>
                <w:szCs w:val="18"/>
              </w:rPr>
              <w:t>48,000</w:t>
            </w:r>
          </w:p>
        </w:tc>
      </w:tr>
      <w:tr w:rsidR="006E016C" w14:paraId="346CBDA0" w14:textId="77777777" w:rsidTr="0092166F">
        <w:tc>
          <w:tcPr>
            <w:tcW w:w="1785" w:type="dxa"/>
          </w:tcPr>
          <w:p w14:paraId="4B248EA9" w14:textId="77777777" w:rsidR="006E016C" w:rsidRPr="009C490A" w:rsidRDefault="006E016C" w:rsidP="00921AF1">
            <w:pPr>
              <w:rPr>
                <w:rFonts w:cs="Arial"/>
                <w:sz w:val="18"/>
                <w:szCs w:val="18"/>
              </w:rPr>
            </w:pPr>
          </w:p>
        </w:tc>
        <w:tc>
          <w:tcPr>
            <w:tcW w:w="1612" w:type="dxa"/>
          </w:tcPr>
          <w:p w14:paraId="5481C661" w14:textId="77777777" w:rsidR="006E016C" w:rsidRPr="009C490A" w:rsidRDefault="006E016C" w:rsidP="00921AF1">
            <w:pPr>
              <w:rPr>
                <w:rFonts w:cs="Arial"/>
                <w:sz w:val="18"/>
                <w:szCs w:val="18"/>
              </w:rPr>
            </w:pPr>
            <w:r w:rsidRPr="009C490A">
              <w:rPr>
                <w:rFonts w:cs="Arial"/>
                <w:sz w:val="18"/>
                <w:szCs w:val="18"/>
              </w:rPr>
              <w:t>Consultations with public sector (annually)</w:t>
            </w:r>
          </w:p>
        </w:tc>
        <w:tc>
          <w:tcPr>
            <w:tcW w:w="1519" w:type="dxa"/>
          </w:tcPr>
          <w:p w14:paraId="11A4610A" w14:textId="77777777" w:rsidR="006E016C" w:rsidRPr="009C490A" w:rsidRDefault="006E016C" w:rsidP="00921AF1">
            <w:pPr>
              <w:rPr>
                <w:rFonts w:cs="Arial"/>
                <w:sz w:val="18"/>
                <w:szCs w:val="18"/>
              </w:rPr>
            </w:pPr>
            <w:r w:rsidRPr="009C490A">
              <w:rPr>
                <w:rFonts w:cs="Arial"/>
                <w:sz w:val="18"/>
                <w:szCs w:val="18"/>
              </w:rPr>
              <w:t>Islamabad</w:t>
            </w:r>
          </w:p>
        </w:tc>
        <w:tc>
          <w:tcPr>
            <w:tcW w:w="1291" w:type="dxa"/>
          </w:tcPr>
          <w:p w14:paraId="6A2B8264" w14:textId="77777777" w:rsidR="006E016C" w:rsidRPr="009C490A" w:rsidRDefault="006E016C" w:rsidP="00921AF1">
            <w:pPr>
              <w:rPr>
                <w:rFonts w:cs="Arial"/>
                <w:sz w:val="18"/>
                <w:szCs w:val="18"/>
              </w:rPr>
            </w:pPr>
            <w:r w:rsidRPr="009C490A">
              <w:rPr>
                <w:rFonts w:cs="Arial"/>
                <w:sz w:val="18"/>
                <w:szCs w:val="18"/>
              </w:rPr>
              <w:t>Per meeting</w:t>
            </w:r>
          </w:p>
        </w:tc>
        <w:tc>
          <w:tcPr>
            <w:tcW w:w="1196" w:type="dxa"/>
          </w:tcPr>
          <w:p w14:paraId="2236144A" w14:textId="77777777" w:rsidR="006E016C" w:rsidRPr="009C490A" w:rsidRDefault="006E016C" w:rsidP="00921AF1">
            <w:pPr>
              <w:rPr>
                <w:rFonts w:cs="Arial"/>
                <w:sz w:val="18"/>
                <w:szCs w:val="18"/>
              </w:rPr>
            </w:pPr>
            <w:r w:rsidRPr="009C490A">
              <w:rPr>
                <w:rFonts w:cs="Arial"/>
                <w:sz w:val="18"/>
                <w:szCs w:val="18"/>
              </w:rPr>
              <w:t>1,500</w:t>
            </w:r>
          </w:p>
        </w:tc>
        <w:tc>
          <w:tcPr>
            <w:tcW w:w="1237" w:type="dxa"/>
          </w:tcPr>
          <w:p w14:paraId="0FB52C2F" w14:textId="77777777" w:rsidR="006E016C" w:rsidRPr="009C490A" w:rsidRDefault="006E016C" w:rsidP="00921AF1">
            <w:pPr>
              <w:rPr>
                <w:rFonts w:cs="Arial"/>
                <w:sz w:val="18"/>
                <w:szCs w:val="18"/>
              </w:rPr>
            </w:pPr>
            <w:r w:rsidRPr="009C490A">
              <w:rPr>
                <w:rFonts w:cs="Arial"/>
                <w:sz w:val="18"/>
                <w:szCs w:val="18"/>
              </w:rPr>
              <w:t>6,000</w:t>
            </w:r>
          </w:p>
        </w:tc>
      </w:tr>
      <w:tr w:rsidR="006E016C" w14:paraId="156FAFF9" w14:textId="77777777" w:rsidTr="0092166F">
        <w:tc>
          <w:tcPr>
            <w:tcW w:w="1785" w:type="dxa"/>
          </w:tcPr>
          <w:p w14:paraId="4AB35F98" w14:textId="447C8B49" w:rsidR="006E016C" w:rsidRPr="009C490A" w:rsidRDefault="006E016C" w:rsidP="00921AF1">
            <w:pPr>
              <w:rPr>
                <w:rFonts w:cs="Arial"/>
                <w:sz w:val="18"/>
                <w:szCs w:val="18"/>
              </w:rPr>
            </w:pPr>
            <w:r w:rsidRPr="009C490A">
              <w:rPr>
                <w:rFonts w:cs="Arial"/>
                <w:sz w:val="18"/>
                <w:szCs w:val="18"/>
              </w:rPr>
              <w:t>Wrap-up process (</w:t>
            </w:r>
            <w:r w:rsidR="00C92F3C">
              <w:rPr>
                <w:rFonts w:cs="Arial"/>
                <w:sz w:val="18"/>
                <w:szCs w:val="18"/>
              </w:rPr>
              <w:t>final</w:t>
            </w:r>
            <w:r w:rsidRPr="009C490A">
              <w:rPr>
                <w:rFonts w:cs="Arial"/>
                <w:sz w:val="18"/>
                <w:szCs w:val="18"/>
              </w:rPr>
              <w:t xml:space="preserve"> year)</w:t>
            </w:r>
          </w:p>
        </w:tc>
        <w:tc>
          <w:tcPr>
            <w:tcW w:w="1612" w:type="dxa"/>
          </w:tcPr>
          <w:p w14:paraId="5E671419" w14:textId="77777777" w:rsidR="006E016C" w:rsidRPr="009C490A" w:rsidRDefault="006E016C" w:rsidP="00921AF1">
            <w:pPr>
              <w:rPr>
                <w:rFonts w:cs="Arial"/>
                <w:sz w:val="18"/>
                <w:szCs w:val="18"/>
              </w:rPr>
            </w:pPr>
            <w:r w:rsidRPr="009C490A">
              <w:rPr>
                <w:rFonts w:cs="Arial"/>
                <w:sz w:val="18"/>
                <w:szCs w:val="18"/>
              </w:rPr>
              <w:t>Consultations with private sector stakeholders (quarterly, 4 meetings in total, one per quarter)</w:t>
            </w:r>
          </w:p>
        </w:tc>
        <w:tc>
          <w:tcPr>
            <w:tcW w:w="1519" w:type="dxa"/>
          </w:tcPr>
          <w:p w14:paraId="337AE0AB" w14:textId="77777777" w:rsidR="006E016C" w:rsidRPr="009C490A" w:rsidRDefault="006E016C" w:rsidP="00921AF1">
            <w:pPr>
              <w:rPr>
                <w:rFonts w:cs="Arial"/>
                <w:sz w:val="18"/>
                <w:szCs w:val="18"/>
              </w:rPr>
            </w:pPr>
            <w:r w:rsidRPr="009C490A">
              <w:rPr>
                <w:rFonts w:cs="Arial"/>
                <w:sz w:val="18"/>
                <w:szCs w:val="18"/>
              </w:rPr>
              <w:t>Karachi, Lahore, Rawalpindi, Peshawar</w:t>
            </w:r>
          </w:p>
        </w:tc>
        <w:tc>
          <w:tcPr>
            <w:tcW w:w="1291" w:type="dxa"/>
          </w:tcPr>
          <w:p w14:paraId="0C09D4F2" w14:textId="77777777" w:rsidR="006E016C" w:rsidRPr="009C490A" w:rsidRDefault="006E016C" w:rsidP="00921AF1">
            <w:pPr>
              <w:rPr>
                <w:rFonts w:cs="Arial"/>
                <w:sz w:val="18"/>
                <w:szCs w:val="18"/>
              </w:rPr>
            </w:pPr>
            <w:r w:rsidRPr="009C490A">
              <w:rPr>
                <w:rFonts w:cs="Arial"/>
                <w:sz w:val="18"/>
                <w:szCs w:val="18"/>
              </w:rPr>
              <w:t>Per meeting</w:t>
            </w:r>
          </w:p>
        </w:tc>
        <w:tc>
          <w:tcPr>
            <w:tcW w:w="1196" w:type="dxa"/>
          </w:tcPr>
          <w:p w14:paraId="703AECB4" w14:textId="77777777" w:rsidR="006E016C" w:rsidRPr="009C490A" w:rsidRDefault="006E016C" w:rsidP="00921AF1">
            <w:pPr>
              <w:rPr>
                <w:rFonts w:cs="Arial"/>
                <w:sz w:val="18"/>
                <w:szCs w:val="18"/>
              </w:rPr>
            </w:pPr>
            <w:r w:rsidRPr="009C490A">
              <w:rPr>
                <w:rFonts w:cs="Arial"/>
                <w:sz w:val="18"/>
                <w:szCs w:val="18"/>
              </w:rPr>
              <w:t>3,000</w:t>
            </w:r>
          </w:p>
        </w:tc>
        <w:tc>
          <w:tcPr>
            <w:tcW w:w="1237" w:type="dxa"/>
          </w:tcPr>
          <w:p w14:paraId="1F97965A" w14:textId="77777777" w:rsidR="006E016C" w:rsidRPr="009C490A" w:rsidRDefault="006E016C" w:rsidP="00921AF1">
            <w:pPr>
              <w:rPr>
                <w:rFonts w:cs="Arial"/>
                <w:sz w:val="18"/>
                <w:szCs w:val="18"/>
              </w:rPr>
            </w:pPr>
            <w:r w:rsidRPr="009C490A">
              <w:rPr>
                <w:rFonts w:cs="Arial"/>
                <w:sz w:val="18"/>
                <w:szCs w:val="18"/>
              </w:rPr>
              <w:t>12,000</w:t>
            </w:r>
          </w:p>
        </w:tc>
      </w:tr>
      <w:tr w:rsidR="006E016C" w14:paraId="44F218B0" w14:textId="77777777" w:rsidTr="0092166F">
        <w:tc>
          <w:tcPr>
            <w:tcW w:w="1785" w:type="dxa"/>
          </w:tcPr>
          <w:p w14:paraId="78BE9C8D" w14:textId="13A66D26" w:rsidR="006E016C" w:rsidRPr="009C490A" w:rsidRDefault="004D32A6" w:rsidP="00921AF1">
            <w:pPr>
              <w:rPr>
                <w:rFonts w:cs="Arial"/>
                <w:sz w:val="18"/>
                <w:szCs w:val="18"/>
              </w:rPr>
            </w:pPr>
            <w:r w:rsidRPr="009C490A">
              <w:rPr>
                <w:rFonts w:cs="Arial"/>
                <w:sz w:val="18"/>
                <w:szCs w:val="18"/>
              </w:rPr>
              <w:t>Project lifetime</w:t>
            </w:r>
          </w:p>
        </w:tc>
        <w:tc>
          <w:tcPr>
            <w:tcW w:w="1612" w:type="dxa"/>
          </w:tcPr>
          <w:p w14:paraId="4388B6CC" w14:textId="77777777" w:rsidR="006E016C" w:rsidRPr="009C490A" w:rsidRDefault="006E016C" w:rsidP="00921AF1">
            <w:pPr>
              <w:rPr>
                <w:rFonts w:cs="Arial"/>
                <w:sz w:val="18"/>
                <w:szCs w:val="18"/>
              </w:rPr>
            </w:pPr>
            <w:r w:rsidRPr="009C490A">
              <w:rPr>
                <w:rFonts w:cs="Arial"/>
                <w:sz w:val="18"/>
                <w:szCs w:val="18"/>
              </w:rPr>
              <w:t>GRM Database (preparation and maintenance)</w:t>
            </w:r>
          </w:p>
        </w:tc>
        <w:tc>
          <w:tcPr>
            <w:tcW w:w="1519" w:type="dxa"/>
          </w:tcPr>
          <w:p w14:paraId="6ED98766" w14:textId="77777777" w:rsidR="006E016C" w:rsidRPr="009C490A" w:rsidRDefault="006E016C" w:rsidP="00921AF1">
            <w:pPr>
              <w:rPr>
                <w:rFonts w:cs="Arial"/>
                <w:sz w:val="18"/>
                <w:szCs w:val="18"/>
              </w:rPr>
            </w:pPr>
          </w:p>
        </w:tc>
        <w:tc>
          <w:tcPr>
            <w:tcW w:w="1291" w:type="dxa"/>
          </w:tcPr>
          <w:p w14:paraId="2A2C4559" w14:textId="77777777" w:rsidR="006E016C" w:rsidRPr="009C490A" w:rsidRDefault="006E016C" w:rsidP="00921AF1">
            <w:pPr>
              <w:rPr>
                <w:rFonts w:cs="Arial"/>
                <w:sz w:val="18"/>
                <w:szCs w:val="18"/>
              </w:rPr>
            </w:pPr>
          </w:p>
        </w:tc>
        <w:tc>
          <w:tcPr>
            <w:tcW w:w="1196" w:type="dxa"/>
          </w:tcPr>
          <w:p w14:paraId="7F6D3361" w14:textId="77777777" w:rsidR="006E016C" w:rsidRPr="009C490A" w:rsidRDefault="006E016C" w:rsidP="00921AF1">
            <w:pPr>
              <w:rPr>
                <w:rFonts w:cs="Arial"/>
                <w:sz w:val="18"/>
                <w:szCs w:val="18"/>
              </w:rPr>
            </w:pPr>
          </w:p>
        </w:tc>
        <w:tc>
          <w:tcPr>
            <w:tcW w:w="1237" w:type="dxa"/>
          </w:tcPr>
          <w:p w14:paraId="1B591E74" w14:textId="77777777" w:rsidR="006E016C" w:rsidRPr="009C490A" w:rsidRDefault="006E016C" w:rsidP="00921AF1">
            <w:pPr>
              <w:rPr>
                <w:rFonts w:cs="Arial"/>
                <w:sz w:val="18"/>
                <w:szCs w:val="18"/>
              </w:rPr>
            </w:pPr>
            <w:r w:rsidRPr="009C490A">
              <w:rPr>
                <w:rFonts w:cs="Arial"/>
                <w:sz w:val="18"/>
                <w:szCs w:val="18"/>
              </w:rPr>
              <w:t>40,000</w:t>
            </w:r>
          </w:p>
        </w:tc>
      </w:tr>
      <w:tr w:rsidR="006E016C" w14:paraId="0F31A989" w14:textId="77777777" w:rsidTr="0092166F">
        <w:tc>
          <w:tcPr>
            <w:tcW w:w="1785" w:type="dxa"/>
          </w:tcPr>
          <w:p w14:paraId="16A9FBE5" w14:textId="77777777" w:rsidR="006E016C" w:rsidRPr="009C490A" w:rsidRDefault="006E016C" w:rsidP="00921AF1">
            <w:pPr>
              <w:rPr>
                <w:rFonts w:cs="Arial"/>
                <w:sz w:val="18"/>
                <w:szCs w:val="18"/>
              </w:rPr>
            </w:pPr>
          </w:p>
        </w:tc>
        <w:tc>
          <w:tcPr>
            <w:tcW w:w="1612" w:type="dxa"/>
          </w:tcPr>
          <w:p w14:paraId="12313F82" w14:textId="77777777" w:rsidR="006E016C" w:rsidRPr="009C490A" w:rsidRDefault="006E016C" w:rsidP="00921AF1">
            <w:pPr>
              <w:rPr>
                <w:rFonts w:cs="Arial"/>
                <w:sz w:val="18"/>
                <w:szCs w:val="18"/>
              </w:rPr>
            </w:pPr>
            <w:r w:rsidRPr="009C490A">
              <w:rPr>
                <w:rFonts w:cs="Arial"/>
                <w:sz w:val="18"/>
                <w:szCs w:val="18"/>
              </w:rPr>
              <w:t>Preparation &amp; dissemination and other costs</w:t>
            </w:r>
          </w:p>
        </w:tc>
        <w:tc>
          <w:tcPr>
            <w:tcW w:w="1519" w:type="dxa"/>
          </w:tcPr>
          <w:p w14:paraId="065E245D" w14:textId="77777777" w:rsidR="006E016C" w:rsidRPr="009C490A" w:rsidRDefault="006E016C" w:rsidP="00921AF1">
            <w:pPr>
              <w:rPr>
                <w:rFonts w:cs="Arial"/>
                <w:sz w:val="18"/>
                <w:szCs w:val="18"/>
              </w:rPr>
            </w:pPr>
          </w:p>
        </w:tc>
        <w:tc>
          <w:tcPr>
            <w:tcW w:w="1291" w:type="dxa"/>
          </w:tcPr>
          <w:p w14:paraId="64A5B7DC" w14:textId="77777777" w:rsidR="006E016C" w:rsidRPr="009C490A" w:rsidRDefault="006E016C" w:rsidP="00921AF1">
            <w:pPr>
              <w:rPr>
                <w:rFonts w:cs="Arial"/>
                <w:sz w:val="18"/>
                <w:szCs w:val="18"/>
              </w:rPr>
            </w:pPr>
          </w:p>
        </w:tc>
        <w:tc>
          <w:tcPr>
            <w:tcW w:w="1196" w:type="dxa"/>
          </w:tcPr>
          <w:p w14:paraId="448B55FA" w14:textId="77777777" w:rsidR="006E016C" w:rsidRPr="009C490A" w:rsidRDefault="006E016C" w:rsidP="00921AF1">
            <w:pPr>
              <w:rPr>
                <w:rFonts w:cs="Arial"/>
                <w:sz w:val="18"/>
                <w:szCs w:val="18"/>
              </w:rPr>
            </w:pPr>
          </w:p>
        </w:tc>
        <w:tc>
          <w:tcPr>
            <w:tcW w:w="1237" w:type="dxa"/>
          </w:tcPr>
          <w:p w14:paraId="306E369B" w14:textId="77777777" w:rsidR="006E016C" w:rsidRPr="009C490A" w:rsidRDefault="006E016C" w:rsidP="00921AF1">
            <w:pPr>
              <w:rPr>
                <w:rFonts w:cs="Arial"/>
                <w:sz w:val="18"/>
                <w:szCs w:val="18"/>
              </w:rPr>
            </w:pPr>
            <w:r w:rsidRPr="009C490A">
              <w:rPr>
                <w:rFonts w:cs="Arial"/>
                <w:sz w:val="18"/>
                <w:szCs w:val="18"/>
              </w:rPr>
              <w:t>50,000</w:t>
            </w:r>
          </w:p>
        </w:tc>
      </w:tr>
      <w:tr w:rsidR="006E016C" w14:paraId="6D37650C" w14:textId="77777777" w:rsidTr="0092166F">
        <w:tc>
          <w:tcPr>
            <w:tcW w:w="1785" w:type="dxa"/>
          </w:tcPr>
          <w:p w14:paraId="7F419C58" w14:textId="77777777" w:rsidR="006E016C" w:rsidRPr="009C490A" w:rsidRDefault="006E016C" w:rsidP="00921AF1">
            <w:pPr>
              <w:rPr>
                <w:rFonts w:cs="Arial"/>
                <w:sz w:val="18"/>
                <w:szCs w:val="18"/>
              </w:rPr>
            </w:pPr>
          </w:p>
        </w:tc>
        <w:tc>
          <w:tcPr>
            <w:tcW w:w="1612" w:type="dxa"/>
          </w:tcPr>
          <w:p w14:paraId="1317E949" w14:textId="77777777" w:rsidR="006E016C" w:rsidRPr="009C490A" w:rsidRDefault="006E016C" w:rsidP="00921AF1">
            <w:pPr>
              <w:rPr>
                <w:rFonts w:cs="Arial"/>
                <w:sz w:val="18"/>
                <w:szCs w:val="18"/>
              </w:rPr>
            </w:pPr>
            <w:r w:rsidRPr="009C490A">
              <w:rPr>
                <w:rFonts w:cs="Arial"/>
                <w:sz w:val="18"/>
                <w:szCs w:val="18"/>
              </w:rPr>
              <w:t>Total</w:t>
            </w:r>
          </w:p>
        </w:tc>
        <w:tc>
          <w:tcPr>
            <w:tcW w:w="1519" w:type="dxa"/>
          </w:tcPr>
          <w:p w14:paraId="175D5F2D" w14:textId="77777777" w:rsidR="006E016C" w:rsidRPr="009C490A" w:rsidRDefault="006E016C" w:rsidP="00921AF1">
            <w:pPr>
              <w:rPr>
                <w:rFonts w:cs="Arial"/>
                <w:sz w:val="18"/>
                <w:szCs w:val="18"/>
              </w:rPr>
            </w:pPr>
          </w:p>
        </w:tc>
        <w:tc>
          <w:tcPr>
            <w:tcW w:w="1291" w:type="dxa"/>
          </w:tcPr>
          <w:p w14:paraId="74190A06" w14:textId="77777777" w:rsidR="006E016C" w:rsidRPr="009C490A" w:rsidRDefault="006E016C" w:rsidP="00921AF1">
            <w:pPr>
              <w:rPr>
                <w:rFonts w:cs="Arial"/>
                <w:sz w:val="18"/>
                <w:szCs w:val="18"/>
              </w:rPr>
            </w:pPr>
          </w:p>
        </w:tc>
        <w:tc>
          <w:tcPr>
            <w:tcW w:w="1196" w:type="dxa"/>
          </w:tcPr>
          <w:p w14:paraId="7FA28FB9" w14:textId="77777777" w:rsidR="006E016C" w:rsidRPr="009C490A" w:rsidRDefault="006E016C" w:rsidP="00921AF1">
            <w:pPr>
              <w:rPr>
                <w:rFonts w:cs="Arial"/>
                <w:sz w:val="18"/>
                <w:szCs w:val="18"/>
              </w:rPr>
            </w:pPr>
          </w:p>
        </w:tc>
        <w:tc>
          <w:tcPr>
            <w:tcW w:w="1237" w:type="dxa"/>
          </w:tcPr>
          <w:p w14:paraId="1A709CAD" w14:textId="77777777" w:rsidR="006E016C" w:rsidRPr="009C490A" w:rsidRDefault="006E016C" w:rsidP="00921AF1">
            <w:pPr>
              <w:rPr>
                <w:rFonts w:cs="Arial"/>
                <w:sz w:val="18"/>
                <w:szCs w:val="18"/>
              </w:rPr>
            </w:pPr>
            <w:r w:rsidRPr="009C490A">
              <w:rPr>
                <w:rFonts w:cs="Arial"/>
                <w:sz w:val="18"/>
                <w:szCs w:val="18"/>
              </w:rPr>
              <w:t>162,000</w:t>
            </w:r>
          </w:p>
        </w:tc>
      </w:tr>
    </w:tbl>
    <w:p w14:paraId="31E72845" w14:textId="77777777" w:rsidR="00D710F5" w:rsidRPr="00826D1E" w:rsidRDefault="00D710F5" w:rsidP="00D70AC2">
      <w:pPr>
        <w:pStyle w:val="Heading2"/>
      </w:pPr>
      <w:bookmarkStart w:id="76" w:name="_Toc430790379"/>
      <w:bookmarkStart w:id="77" w:name="_Toc436419367"/>
      <w:bookmarkStart w:id="78" w:name="_Toc452826933"/>
      <w:r>
        <w:lastRenderedPageBreak/>
        <w:t>Management Functions and R</w:t>
      </w:r>
      <w:r w:rsidRPr="00826D1E">
        <w:t>esponsibilities</w:t>
      </w:r>
      <w:bookmarkEnd w:id="76"/>
      <w:bookmarkEnd w:id="77"/>
      <w:bookmarkEnd w:id="78"/>
      <w:r w:rsidRPr="00826D1E">
        <w:t xml:space="preserve"> </w:t>
      </w:r>
    </w:p>
    <w:p w14:paraId="2A4859AB" w14:textId="6E2B00A7" w:rsidR="00D710F5" w:rsidRDefault="00BB4F06" w:rsidP="00D710F5">
      <w:pPr>
        <w:spacing w:after="240"/>
      </w:pPr>
      <w:r>
        <w:t xml:space="preserve">The Project Director shall be overall responsible for implementation of the </w:t>
      </w:r>
      <w:r w:rsidR="00912AF4">
        <w:t>SEP and</w:t>
      </w:r>
      <w:r w:rsidR="005F0BCA">
        <w:t xml:space="preserve"> </w:t>
      </w:r>
      <w:r>
        <w:t xml:space="preserve">will be assisted by </w:t>
      </w:r>
      <w:r w:rsidR="005F0BCA">
        <w:t xml:space="preserve">the </w:t>
      </w:r>
      <w:r>
        <w:t xml:space="preserve">Environment and Social </w:t>
      </w:r>
      <w:r w:rsidR="005F0BCA">
        <w:t xml:space="preserve">Specialist and a Communication Specialist. </w:t>
      </w:r>
      <w:r w:rsidR="009226CE">
        <w:t xml:space="preserve">Responsibilities are noted in earlier sections, see </w:t>
      </w:r>
      <w:r w:rsidR="009226CE" w:rsidRPr="009226CE">
        <w:t>Table 5.1: Information Disclosure</w:t>
      </w:r>
      <w:r w:rsidR="009226CE">
        <w:t xml:space="preserve"> and </w:t>
      </w:r>
      <w:r w:rsidR="009226CE" w:rsidRPr="009226CE">
        <w:t>Table 5.2:  Strategy for Stakeholder Engagement</w:t>
      </w:r>
      <w:r w:rsidR="009226CE">
        <w:t>.</w:t>
      </w:r>
      <w:r w:rsidR="005C0306">
        <w:t xml:space="preserve"> These will be further </w:t>
      </w:r>
      <w:r w:rsidR="00C25997">
        <w:t xml:space="preserve">elaborated in Terms of Reference of the relevant positions, and in the Operations Manual. </w:t>
      </w:r>
    </w:p>
    <w:p w14:paraId="34A4C645" w14:textId="33F58967" w:rsidR="00D710F5" w:rsidRPr="00AD539C" w:rsidRDefault="00D710F5" w:rsidP="00D710F5">
      <w:pPr>
        <w:pStyle w:val="Heading1"/>
      </w:pPr>
      <w:bookmarkStart w:id="79" w:name="_Toc17966133"/>
      <w:bookmarkStart w:id="80" w:name="_Toc430790380"/>
      <w:bookmarkStart w:id="81" w:name="_Toc436419368"/>
      <w:bookmarkStart w:id="82" w:name="_Toc452826934"/>
      <w:r w:rsidRPr="00AD539C">
        <w:t xml:space="preserve">Grievance </w:t>
      </w:r>
      <w:r>
        <w:t xml:space="preserve">Redress </w:t>
      </w:r>
      <w:r w:rsidRPr="00AD539C">
        <w:t>Mechanism</w:t>
      </w:r>
      <w:bookmarkEnd w:id="79"/>
      <w:r>
        <w:t>s</w:t>
      </w:r>
      <w:bookmarkEnd w:id="80"/>
      <w:bookmarkEnd w:id="81"/>
      <w:bookmarkEnd w:id="82"/>
      <w:r w:rsidR="008A27C6">
        <w:t xml:space="preserve"> (GRM)</w:t>
      </w:r>
    </w:p>
    <w:p w14:paraId="3057140B" w14:textId="77777777" w:rsidR="00D710F5" w:rsidRPr="0012639A" w:rsidRDefault="00D710F5" w:rsidP="003E3DFE">
      <w:pPr>
        <w:pStyle w:val="BodyText"/>
        <w:jc w:val="both"/>
        <w:rPr>
          <w:lang w:val="en-GB" w:eastAsia="en-GB"/>
        </w:rPr>
      </w:pPr>
      <w:r>
        <w:rPr>
          <w:lang w:val="en-GB" w:eastAsia="en-GB"/>
        </w:rPr>
        <w:t>Paragraph</w:t>
      </w:r>
      <w:r w:rsidRPr="0012639A">
        <w:rPr>
          <w:lang w:val="en-GB" w:eastAsia="en-GB"/>
        </w:rPr>
        <w:t xml:space="preserve"> 26 of ESS 10 says that, “</w:t>
      </w:r>
      <w:r w:rsidRPr="00074069">
        <w:rPr>
          <w:i/>
          <w:lang w:val="en-GB" w:eastAsia="en-GB"/>
        </w:rPr>
        <w:t>the Borrower will respond to concerns and grievances of project-affected parties related to the environmental and social performance of the project in a timely manner. For this purpose, the Borrower will propose and implement a grievance mechanism to receive and facilitate resolution of such concerns and grievances</w:t>
      </w:r>
      <w:r w:rsidRPr="0012639A">
        <w:rPr>
          <w:lang w:val="en-GB" w:eastAsia="en-GB"/>
        </w:rPr>
        <w:t>.”</w:t>
      </w:r>
    </w:p>
    <w:p w14:paraId="17A8AEB5" w14:textId="77777777" w:rsidR="00D710F5" w:rsidRDefault="00D710F5" w:rsidP="003E3DFE">
      <w:pPr>
        <w:pStyle w:val="Heading2"/>
        <w:jc w:val="both"/>
      </w:pPr>
      <w:bookmarkStart w:id="83" w:name="_Toc436419369"/>
      <w:bookmarkStart w:id="84" w:name="_Toc452826935"/>
      <w:r>
        <w:t xml:space="preserve">Existing </w:t>
      </w:r>
      <w:r w:rsidRPr="00306F8A">
        <w:t>Grievance Redress Mechanism</w:t>
      </w:r>
      <w:r>
        <w:t>s</w:t>
      </w:r>
      <w:bookmarkEnd w:id="83"/>
      <w:bookmarkEnd w:id="84"/>
    </w:p>
    <w:p w14:paraId="3D431EE2" w14:textId="77777777" w:rsidR="00D710F5" w:rsidRDefault="00D710F5" w:rsidP="003E3DFE">
      <w:pPr>
        <w:pStyle w:val="BodyText"/>
        <w:jc w:val="both"/>
      </w:pPr>
      <w:r>
        <w:t xml:space="preserve">All ministries have a “Contact Us” section on their websites, where queries and complaints can be lodged with the relevant officials. Similarly, an official helpdesk email is also provided on the Ministry’s website. In addition to the online systems, feedback and grievances can also be sent to the Ministry through official letters addressed to the Secretary, which are then passed on to the relevant quarters. However, there is no information on how well these avenues work, and how promptly they respond to complaints. Recently, the Prime Minister’s Secretariat has also introduced a Pakistan Citizen’s Portal, where a complaint regarding a ministry or any government department can be lodged directly with the Prime Minister’s Secretariat. A Performance Delivery Unit (PDU) at the PM Office then asks the relevant ministry to address the complaint within a stipulated </w:t>
      </w:r>
      <w:proofErr w:type="gramStart"/>
      <w:r>
        <w:t>period of time</w:t>
      </w:r>
      <w:proofErr w:type="gramEnd"/>
      <w:r>
        <w:t xml:space="preserve">. After the complaint is addressed, the complainant is asked whether his/her issue was resolved or not, and if not, the complaint is accelerated to a higher level. Again, there is no assessment available </w:t>
      </w:r>
      <w:proofErr w:type="gramStart"/>
      <w:r>
        <w:t>as yet</w:t>
      </w:r>
      <w:proofErr w:type="gramEnd"/>
      <w:r>
        <w:t xml:space="preserve"> about how well the Pakistan Citizen Portal is functioning. </w:t>
      </w:r>
    </w:p>
    <w:p w14:paraId="74C9E599" w14:textId="77777777" w:rsidR="00D710F5" w:rsidRPr="00853E17" w:rsidRDefault="00D710F5" w:rsidP="003E3DFE">
      <w:pPr>
        <w:pStyle w:val="Heading2"/>
        <w:jc w:val="both"/>
      </w:pPr>
      <w:bookmarkStart w:id="85" w:name="_Toc436419370"/>
      <w:bookmarkStart w:id="86" w:name="_Toc452826936"/>
      <w:r>
        <w:t xml:space="preserve">Existing GRM - </w:t>
      </w:r>
      <w:r w:rsidRPr="00853E17">
        <w:t>For Civil Servants</w:t>
      </w:r>
      <w:bookmarkEnd w:id="85"/>
      <w:bookmarkEnd w:id="86"/>
    </w:p>
    <w:p w14:paraId="007A0C5B" w14:textId="61BB1049" w:rsidR="00D710F5" w:rsidRPr="00894AE8" w:rsidRDefault="00D710F5" w:rsidP="003E3DFE">
      <w:pPr>
        <w:pStyle w:val="BodyText"/>
        <w:jc w:val="both"/>
        <w:rPr>
          <w:szCs w:val="23"/>
        </w:rPr>
      </w:pPr>
      <w:r w:rsidRPr="00894AE8">
        <w:t xml:space="preserve">In case of grievances of </w:t>
      </w:r>
      <w:r>
        <w:t>c</w:t>
      </w:r>
      <w:r w:rsidRPr="00894AE8">
        <w:t xml:space="preserve">ivil </w:t>
      </w:r>
      <w:r>
        <w:t>s</w:t>
      </w:r>
      <w:r w:rsidRPr="00894AE8">
        <w:t xml:space="preserve">ervants working under the project, </w:t>
      </w:r>
      <w:r>
        <w:t>complaints</w:t>
      </w:r>
      <w:r w:rsidRPr="00894AE8">
        <w:t xml:space="preserve"> can go to </w:t>
      </w:r>
      <w:r>
        <w:t xml:space="preserve">the </w:t>
      </w:r>
      <w:r w:rsidRPr="00894AE8">
        <w:t xml:space="preserve">Federal Services Tribunal (FST). </w:t>
      </w:r>
      <w:r w:rsidRPr="00894AE8">
        <w:rPr>
          <w:szCs w:val="23"/>
        </w:rPr>
        <w:t xml:space="preserve">FST </w:t>
      </w:r>
      <w:r>
        <w:rPr>
          <w:szCs w:val="23"/>
        </w:rPr>
        <w:t>was</w:t>
      </w:r>
      <w:r w:rsidRPr="00894AE8">
        <w:rPr>
          <w:szCs w:val="23"/>
        </w:rPr>
        <w:t xml:space="preserve"> constituted under Article 212 of </w:t>
      </w:r>
      <w:r>
        <w:rPr>
          <w:szCs w:val="23"/>
        </w:rPr>
        <w:t xml:space="preserve">the </w:t>
      </w:r>
      <w:r w:rsidRPr="00894AE8">
        <w:rPr>
          <w:szCs w:val="23"/>
        </w:rPr>
        <w:t xml:space="preserve">Constitution of Pakistan, 1973 to adjudicate upon matters relating to the terms and conditions of </w:t>
      </w:r>
      <w:r>
        <w:rPr>
          <w:szCs w:val="23"/>
        </w:rPr>
        <w:t>service for c</w:t>
      </w:r>
      <w:r w:rsidRPr="00894AE8">
        <w:rPr>
          <w:szCs w:val="23"/>
        </w:rPr>
        <w:t xml:space="preserve">ivil </w:t>
      </w:r>
      <w:r>
        <w:rPr>
          <w:szCs w:val="23"/>
        </w:rPr>
        <w:t>s</w:t>
      </w:r>
      <w:r w:rsidRPr="00894AE8">
        <w:rPr>
          <w:szCs w:val="23"/>
        </w:rPr>
        <w:t xml:space="preserve">ervants. </w:t>
      </w:r>
      <w:r>
        <w:rPr>
          <w:szCs w:val="23"/>
        </w:rPr>
        <w:t xml:space="preserve"> </w:t>
      </w:r>
      <w:r w:rsidRPr="00894AE8">
        <w:rPr>
          <w:szCs w:val="23"/>
        </w:rPr>
        <w:t xml:space="preserve">The primary objective of establishment of </w:t>
      </w:r>
      <w:r>
        <w:rPr>
          <w:szCs w:val="23"/>
        </w:rPr>
        <w:t xml:space="preserve">the </w:t>
      </w:r>
      <w:r w:rsidRPr="00894AE8">
        <w:rPr>
          <w:szCs w:val="23"/>
        </w:rPr>
        <w:t xml:space="preserve">Tribunal </w:t>
      </w:r>
      <w:r>
        <w:rPr>
          <w:szCs w:val="23"/>
        </w:rPr>
        <w:t>was</w:t>
      </w:r>
      <w:r w:rsidRPr="00894AE8">
        <w:rPr>
          <w:szCs w:val="23"/>
        </w:rPr>
        <w:t xml:space="preserve"> to provide</w:t>
      </w:r>
      <w:r>
        <w:rPr>
          <w:szCs w:val="23"/>
        </w:rPr>
        <w:t xml:space="preserve"> an</w:t>
      </w:r>
      <w:r w:rsidRPr="00894AE8">
        <w:rPr>
          <w:szCs w:val="23"/>
        </w:rPr>
        <w:t xml:space="preserve"> independent and autonomous forum for adjudication of disputes relating to the conditions of service of the persons in the </w:t>
      </w:r>
      <w:r>
        <w:rPr>
          <w:szCs w:val="23"/>
        </w:rPr>
        <w:t>s</w:t>
      </w:r>
      <w:r w:rsidRPr="00894AE8">
        <w:rPr>
          <w:szCs w:val="23"/>
        </w:rPr>
        <w:t xml:space="preserve">ervice of Pakistan. The Tribunal is headquartered in </w:t>
      </w:r>
      <w:r w:rsidR="00912AF4" w:rsidRPr="00894AE8">
        <w:rPr>
          <w:szCs w:val="23"/>
        </w:rPr>
        <w:t>Islamabad</w:t>
      </w:r>
      <w:r w:rsidR="00912AF4">
        <w:rPr>
          <w:szCs w:val="23"/>
        </w:rPr>
        <w:t xml:space="preserve"> and</w:t>
      </w:r>
      <w:r w:rsidRPr="00894AE8">
        <w:rPr>
          <w:szCs w:val="23"/>
        </w:rPr>
        <w:t xml:space="preserve"> has two Camp Offices in Lahore and Karachi. The Tribunal is headed by </w:t>
      </w:r>
      <w:r>
        <w:rPr>
          <w:szCs w:val="23"/>
        </w:rPr>
        <w:t>a</w:t>
      </w:r>
      <w:r w:rsidRPr="00894AE8">
        <w:rPr>
          <w:szCs w:val="23"/>
        </w:rPr>
        <w:t xml:space="preserve"> Chairman (</w:t>
      </w:r>
      <w:r>
        <w:rPr>
          <w:szCs w:val="23"/>
        </w:rPr>
        <w:t xml:space="preserve">a </w:t>
      </w:r>
      <w:r w:rsidRPr="00894AE8">
        <w:rPr>
          <w:szCs w:val="23"/>
        </w:rPr>
        <w:t xml:space="preserve">Retired Judge of </w:t>
      </w:r>
      <w:r>
        <w:rPr>
          <w:szCs w:val="23"/>
        </w:rPr>
        <w:t xml:space="preserve">the </w:t>
      </w:r>
      <w:r w:rsidRPr="00894AE8">
        <w:rPr>
          <w:szCs w:val="23"/>
        </w:rPr>
        <w:t>High Court) and Members appointed by the President who are experienced administrators, district and session judge</w:t>
      </w:r>
      <w:r>
        <w:rPr>
          <w:szCs w:val="23"/>
        </w:rPr>
        <w:t>s,</w:t>
      </w:r>
      <w:r w:rsidRPr="00894AE8">
        <w:rPr>
          <w:szCs w:val="23"/>
        </w:rPr>
        <w:t xml:space="preserve"> or senior advocates of </w:t>
      </w:r>
      <w:r>
        <w:rPr>
          <w:szCs w:val="23"/>
        </w:rPr>
        <w:t xml:space="preserve">the </w:t>
      </w:r>
      <w:r w:rsidRPr="00894AE8">
        <w:rPr>
          <w:szCs w:val="23"/>
        </w:rPr>
        <w:t>High Court and</w:t>
      </w:r>
      <w:r>
        <w:rPr>
          <w:szCs w:val="23"/>
        </w:rPr>
        <w:t>/or</w:t>
      </w:r>
      <w:r w:rsidRPr="00894AE8">
        <w:rPr>
          <w:szCs w:val="23"/>
        </w:rPr>
        <w:t xml:space="preserve"> </w:t>
      </w:r>
      <w:r>
        <w:rPr>
          <w:szCs w:val="23"/>
        </w:rPr>
        <w:t>Supreme Court</w:t>
      </w:r>
      <w:r w:rsidRPr="00894AE8">
        <w:rPr>
          <w:szCs w:val="23"/>
        </w:rPr>
        <w:t>.</w:t>
      </w:r>
    </w:p>
    <w:p w14:paraId="6538B694" w14:textId="77777777" w:rsidR="00D710F5" w:rsidRPr="00894AE8" w:rsidRDefault="00D710F5" w:rsidP="003E3DFE">
      <w:pPr>
        <w:pStyle w:val="BodyText"/>
        <w:jc w:val="both"/>
        <w:rPr>
          <w:szCs w:val="23"/>
        </w:rPr>
      </w:pPr>
      <w:r w:rsidRPr="00894AE8">
        <w:rPr>
          <w:szCs w:val="23"/>
        </w:rPr>
        <w:lastRenderedPageBreak/>
        <w:t xml:space="preserve">The Tribunal </w:t>
      </w:r>
      <w:r>
        <w:rPr>
          <w:szCs w:val="23"/>
        </w:rPr>
        <w:t>does not charge a</w:t>
      </w:r>
      <w:r w:rsidRPr="00894AE8">
        <w:rPr>
          <w:szCs w:val="23"/>
        </w:rPr>
        <w:t xml:space="preserve"> fee from the appellants for filing of appeal or other documents. However, a nominal amount of Rs.100 as Cash Security and Rs.60 per respondent, as Cost of Service is being charged </w:t>
      </w:r>
      <w:r>
        <w:rPr>
          <w:szCs w:val="23"/>
        </w:rPr>
        <w:t>from</w:t>
      </w:r>
      <w:r w:rsidRPr="00894AE8">
        <w:rPr>
          <w:szCs w:val="23"/>
        </w:rPr>
        <w:t xml:space="preserve"> the appellants, out of which Rs.100 is refundable to the appellant after the final decision. Judgments are also being provided to the appellants free of cost. </w:t>
      </w:r>
      <w:r>
        <w:rPr>
          <w:szCs w:val="23"/>
        </w:rPr>
        <w:t xml:space="preserve"> </w:t>
      </w:r>
      <w:r w:rsidRPr="00894AE8">
        <w:rPr>
          <w:szCs w:val="23"/>
        </w:rPr>
        <w:t>Appellants are also allowed to argue their cases themselves without hiring of the services of advocate.</w:t>
      </w:r>
    </w:p>
    <w:p w14:paraId="4BC13C75" w14:textId="77777777" w:rsidR="00D710F5" w:rsidRDefault="00D710F5" w:rsidP="003E3DFE">
      <w:pPr>
        <w:pStyle w:val="BodyText"/>
        <w:jc w:val="both"/>
        <w:rPr>
          <w:szCs w:val="23"/>
        </w:rPr>
      </w:pPr>
      <w:r w:rsidRPr="00894AE8">
        <w:rPr>
          <w:szCs w:val="23"/>
        </w:rPr>
        <w:t xml:space="preserve">The Tribunal </w:t>
      </w:r>
      <w:r>
        <w:rPr>
          <w:szCs w:val="23"/>
        </w:rPr>
        <w:t xml:space="preserve">is well respected amongst civil servants and has </w:t>
      </w:r>
      <w:r w:rsidRPr="00894AE8">
        <w:rPr>
          <w:szCs w:val="23"/>
        </w:rPr>
        <w:t xml:space="preserve">provided relief </w:t>
      </w:r>
      <w:r>
        <w:rPr>
          <w:szCs w:val="23"/>
        </w:rPr>
        <w:t xml:space="preserve">to applicants and </w:t>
      </w:r>
      <w:r w:rsidRPr="00894AE8">
        <w:rPr>
          <w:szCs w:val="23"/>
        </w:rPr>
        <w:t>protected their rights.</w:t>
      </w:r>
    </w:p>
    <w:p w14:paraId="4F394100" w14:textId="77777777" w:rsidR="00D710F5" w:rsidRPr="00341533" w:rsidRDefault="00D710F5" w:rsidP="003E3DFE">
      <w:pPr>
        <w:pStyle w:val="Heading2"/>
        <w:jc w:val="both"/>
      </w:pPr>
      <w:bookmarkStart w:id="87" w:name="_Toc436419371"/>
      <w:bookmarkStart w:id="88" w:name="_Toc452826937"/>
      <w:r>
        <w:t>Project GRC – For Project Stakeholders</w:t>
      </w:r>
      <w:bookmarkEnd w:id="87"/>
      <w:bookmarkEnd w:id="88"/>
      <w:r>
        <w:t xml:space="preserve"> </w:t>
      </w:r>
      <w:r w:rsidRPr="00341533">
        <w:t xml:space="preserve"> </w:t>
      </w:r>
    </w:p>
    <w:p w14:paraId="627F7770" w14:textId="55DA93AF" w:rsidR="00D710F5" w:rsidRDefault="00D710F5" w:rsidP="003E3DFE">
      <w:pPr>
        <w:pStyle w:val="BodyText"/>
        <w:jc w:val="both"/>
      </w:pPr>
      <w:r>
        <w:t xml:space="preserve">A project-level Grievances Redress Committee (GRC) will be constituted at </w:t>
      </w:r>
      <w:r w:rsidR="008F4B65">
        <w:t>MOC</w:t>
      </w:r>
      <w:r>
        <w:t>, chaired by the Additional Secretary (Admin) (or equivalent in the new structure. The composition of the committee will be as follows:</w:t>
      </w:r>
    </w:p>
    <w:p w14:paraId="4F15E6BE" w14:textId="77777777" w:rsidR="00D710F5" w:rsidRDefault="00D710F5" w:rsidP="003E3DFE">
      <w:pPr>
        <w:pStyle w:val="TableTitle"/>
      </w:pPr>
      <w:r>
        <w:t>Table 7.1: Grievance Redress Mechanisms</w:t>
      </w:r>
    </w:p>
    <w:tbl>
      <w:tblPr>
        <w:tblW w:w="0" w:type="auto"/>
        <w:jc w:val="center"/>
        <w:tblBorders>
          <w:top w:val="single" w:sz="8" w:space="0" w:color="auto"/>
          <w:bottom w:val="single" w:sz="8" w:space="0" w:color="auto"/>
          <w:insideH w:val="dotted" w:sz="8" w:space="0" w:color="auto"/>
        </w:tblBorders>
        <w:tblCellMar>
          <w:left w:w="72" w:type="dxa"/>
          <w:right w:w="72" w:type="dxa"/>
        </w:tblCellMar>
        <w:tblLook w:val="04A0" w:firstRow="1" w:lastRow="0" w:firstColumn="1" w:lastColumn="0" w:noHBand="0" w:noVBand="1"/>
      </w:tblPr>
      <w:tblGrid>
        <w:gridCol w:w="5078"/>
        <w:gridCol w:w="2938"/>
      </w:tblGrid>
      <w:tr w:rsidR="00D710F5" w14:paraId="769B902D" w14:textId="77777777" w:rsidTr="0095284D">
        <w:trPr>
          <w:trHeight w:val="629"/>
          <w:jc w:val="center"/>
        </w:trPr>
        <w:tc>
          <w:tcPr>
            <w:tcW w:w="5078" w:type="dxa"/>
            <w:shd w:val="clear" w:color="auto" w:fill="auto"/>
          </w:tcPr>
          <w:p w14:paraId="1641E5D0" w14:textId="77777777" w:rsidR="00D710F5" w:rsidRPr="00141E01" w:rsidRDefault="00D710F5" w:rsidP="003E3DFE">
            <w:pPr>
              <w:pStyle w:val="TableHead"/>
              <w:suppressAutoHyphens/>
              <w:jc w:val="both"/>
              <w:rPr>
                <w:szCs w:val="18"/>
              </w:rPr>
            </w:pPr>
            <w:r w:rsidRPr="00141E01">
              <w:rPr>
                <w:szCs w:val="18"/>
              </w:rPr>
              <w:t>Designation</w:t>
            </w:r>
          </w:p>
        </w:tc>
        <w:tc>
          <w:tcPr>
            <w:tcW w:w="2938" w:type="dxa"/>
            <w:shd w:val="clear" w:color="auto" w:fill="auto"/>
          </w:tcPr>
          <w:p w14:paraId="791A076B" w14:textId="77777777" w:rsidR="00D710F5" w:rsidRPr="00141E01" w:rsidRDefault="00D710F5" w:rsidP="003E3DFE">
            <w:pPr>
              <w:pStyle w:val="TableHead"/>
              <w:suppressAutoHyphens/>
              <w:jc w:val="both"/>
              <w:rPr>
                <w:szCs w:val="18"/>
              </w:rPr>
            </w:pPr>
            <w:r w:rsidRPr="00141E01">
              <w:rPr>
                <w:szCs w:val="18"/>
              </w:rPr>
              <w:t>Position</w:t>
            </w:r>
          </w:p>
        </w:tc>
      </w:tr>
      <w:tr w:rsidR="00D710F5" w14:paraId="6557F730" w14:textId="77777777" w:rsidTr="0095284D">
        <w:trPr>
          <w:jc w:val="center"/>
        </w:trPr>
        <w:tc>
          <w:tcPr>
            <w:tcW w:w="5078" w:type="dxa"/>
            <w:shd w:val="clear" w:color="auto" w:fill="auto"/>
          </w:tcPr>
          <w:p w14:paraId="48F6F560" w14:textId="3D607BB0" w:rsidR="00D710F5" w:rsidRPr="00141E01" w:rsidRDefault="00D710F5" w:rsidP="003E3DFE">
            <w:pPr>
              <w:pStyle w:val="TableEntry"/>
              <w:suppressAutoHyphens/>
              <w:jc w:val="both"/>
              <w:rPr>
                <w:szCs w:val="18"/>
              </w:rPr>
            </w:pPr>
            <w:r w:rsidRPr="00141E01">
              <w:rPr>
                <w:szCs w:val="18"/>
              </w:rPr>
              <w:t xml:space="preserve">Additional Secretary (Admin), </w:t>
            </w:r>
            <w:r w:rsidR="008F4B65">
              <w:rPr>
                <w:szCs w:val="18"/>
              </w:rPr>
              <w:t>MOC</w:t>
            </w:r>
          </w:p>
        </w:tc>
        <w:tc>
          <w:tcPr>
            <w:tcW w:w="2938" w:type="dxa"/>
            <w:shd w:val="clear" w:color="auto" w:fill="auto"/>
          </w:tcPr>
          <w:p w14:paraId="4530346C" w14:textId="6CE29AE3" w:rsidR="00D710F5" w:rsidRPr="00141E01" w:rsidRDefault="008A2CF6" w:rsidP="003E3DFE">
            <w:pPr>
              <w:pStyle w:val="TableEntry"/>
              <w:suppressAutoHyphens/>
              <w:jc w:val="both"/>
              <w:rPr>
                <w:szCs w:val="18"/>
              </w:rPr>
            </w:pPr>
            <w:r>
              <w:rPr>
                <w:szCs w:val="18"/>
              </w:rPr>
              <w:t>Chairperson</w:t>
            </w:r>
          </w:p>
        </w:tc>
      </w:tr>
      <w:tr w:rsidR="00D710F5" w14:paraId="0A030059" w14:textId="77777777" w:rsidTr="0095284D">
        <w:trPr>
          <w:jc w:val="center"/>
        </w:trPr>
        <w:tc>
          <w:tcPr>
            <w:tcW w:w="5078" w:type="dxa"/>
            <w:shd w:val="clear" w:color="auto" w:fill="auto"/>
          </w:tcPr>
          <w:p w14:paraId="7AB2D21D" w14:textId="3975E3FB" w:rsidR="00D710F5" w:rsidRPr="00141E01" w:rsidRDefault="00D710F5" w:rsidP="003E3DFE">
            <w:pPr>
              <w:pStyle w:val="TableEntry"/>
              <w:suppressAutoHyphens/>
              <w:jc w:val="both"/>
              <w:rPr>
                <w:szCs w:val="18"/>
              </w:rPr>
            </w:pPr>
            <w:r w:rsidRPr="00141E01">
              <w:rPr>
                <w:szCs w:val="18"/>
              </w:rPr>
              <w:t>Director General (</w:t>
            </w:r>
            <w:r w:rsidR="008A2CF6">
              <w:rPr>
                <w:szCs w:val="18"/>
              </w:rPr>
              <w:t>SSU</w:t>
            </w:r>
            <w:r w:rsidRPr="00141E01">
              <w:rPr>
                <w:szCs w:val="18"/>
              </w:rPr>
              <w:t xml:space="preserve">), </w:t>
            </w:r>
            <w:r w:rsidR="008F4B65">
              <w:rPr>
                <w:szCs w:val="18"/>
              </w:rPr>
              <w:t>MOC</w:t>
            </w:r>
          </w:p>
        </w:tc>
        <w:tc>
          <w:tcPr>
            <w:tcW w:w="2938" w:type="dxa"/>
            <w:shd w:val="clear" w:color="auto" w:fill="auto"/>
          </w:tcPr>
          <w:p w14:paraId="39338F08" w14:textId="1AA2AD01" w:rsidR="00D710F5" w:rsidRPr="00141E01" w:rsidRDefault="008A2CF6" w:rsidP="003E3DFE">
            <w:pPr>
              <w:pStyle w:val="TableEntry"/>
              <w:suppressAutoHyphens/>
              <w:jc w:val="both"/>
              <w:rPr>
                <w:szCs w:val="18"/>
              </w:rPr>
            </w:pPr>
            <w:r>
              <w:rPr>
                <w:szCs w:val="18"/>
              </w:rPr>
              <w:t>Vice Chairperson</w:t>
            </w:r>
          </w:p>
        </w:tc>
      </w:tr>
      <w:tr w:rsidR="00D710F5" w14:paraId="38D8F3F4" w14:textId="77777777" w:rsidTr="0095284D">
        <w:trPr>
          <w:jc w:val="center"/>
        </w:trPr>
        <w:tc>
          <w:tcPr>
            <w:tcW w:w="5078" w:type="dxa"/>
            <w:shd w:val="clear" w:color="auto" w:fill="auto"/>
          </w:tcPr>
          <w:p w14:paraId="30311306" w14:textId="7AB7F43D" w:rsidR="00D710F5" w:rsidRPr="00141E01" w:rsidRDefault="008A2CF6" w:rsidP="003E3DFE">
            <w:pPr>
              <w:pStyle w:val="TableEntry"/>
              <w:suppressAutoHyphens/>
              <w:jc w:val="both"/>
              <w:rPr>
                <w:szCs w:val="18"/>
              </w:rPr>
            </w:pPr>
            <w:r>
              <w:rPr>
                <w:szCs w:val="18"/>
              </w:rPr>
              <w:t xml:space="preserve">Environment and Social Specialist (SSU), </w:t>
            </w:r>
            <w:r w:rsidR="008F4B65">
              <w:rPr>
                <w:szCs w:val="18"/>
              </w:rPr>
              <w:t>MOC</w:t>
            </w:r>
          </w:p>
        </w:tc>
        <w:tc>
          <w:tcPr>
            <w:tcW w:w="2938" w:type="dxa"/>
            <w:shd w:val="clear" w:color="auto" w:fill="auto"/>
          </w:tcPr>
          <w:p w14:paraId="65B3ABF6" w14:textId="24DA5698" w:rsidR="00D710F5" w:rsidRPr="00141E01" w:rsidRDefault="008A2CF6" w:rsidP="003E3DFE">
            <w:pPr>
              <w:pStyle w:val="TableEntry"/>
              <w:suppressAutoHyphens/>
              <w:jc w:val="both"/>
              <w:rPr>
                <w:szCs w:val="18"/>
              </w:rPr>
            </w:pPr>
            <w:r>
              <w:rPr>
                <w:szCs w:val="18"/>
              </w:rPr>
              <w:t>Secretary</w:t>
            </w:r>
          </w:p>
        </w:tc>
      </w:tr>
      <w:tr w:rsidR="00D710F5" w14:paraId="00CA334A" w14:textId="77777777" w:rsidTr="0095284D">
        <w:trPr>
          <w:jc w:val="center"/>
        </w:trPr>
        <w:tc>
          <w:tcPr>
            <w:tcW w:w="5078" w:type="dxa"/>
            <w:shd w:val="clear" w:color="auto" w:fill="auto"/>
          </w:tcPr>
          <w:p w14:paraId="7613AD95" w14:textId="7E21C31D" w:rsidR="00D710F5" w:rsidRPr="00141E01" w:rsidRDefault="00D710F5" w:rsidP="003E3DFE">
            <w:pPr>
              <w:pStyle w:val="TableEntry"/>
              <w:suppressAutoHyphens/>
              <w:jc w:val="both"/>
              <w:rPr>
                <w:szCs w:val="18"/>
              </w:rPr>
            </w:pPr>
            <w:r w:rsidRPr="00141E01">
              <w:rPr>
                <w:szCs w:val="18"/>
              </w:rPr>
              <w:t xml:space="preserve">Deputy Secretary (Admin &amp; Finance), </w:t>
            </w:r>
            <w:r w:rsidR="008F4B65">
              <w:rPr>
                <w:szCs w:val="18"/>
              </w:rPr>
              <w:t>MOC</w:t>
            </w:r>
          </w:p>
        </w:tc>
        <w:tc>
          <w:tcPr>
            <w:tcW w:w="2938" w:type="dxa"/>
            <w:shd w:val="clear" w:color="auto" w:fill="auto"/>
          </w:tcPr>
          <w:p w14:paraId="6BF71414" w14:textId="77777777" w:rsidR="00D710F5" w:rsidRPr="00141E01" w:rsidRDefault="00D710F5" w:rsidP="003E3DFE">
            <w:pPr>
              <w:pStyle w:val="TableEntry"/>
              <w:suppressAutoHyphens/>
              <w:jc w:val="both"/>
              <w:rPr>
                <w:szCs w:val="18"/>
              </w:rPr>
            </w:pPr>
            <w:r w:rsidRPr="00141E01">
              <w:rPr>
                <w:szCs w:val="18"/>
              </w:rPr>
              <w:t>Member</w:t>
            </w:r>
          </w:p>
        </w:tc>
      </w:tr>
    </w:tbl>
    <w:p w14:paraId="681E4046" w14:textId="77777777" w:rsidR="00D710F5" w:rsidRDefault="00D710F5" w:rsidP="003E3DFE">
      <w:pPr>
        <w:spacing w:after="240"/>
        <w:jc w:val="both"/>
      </w:pPr>
    </w:p>
    <w:p w14:paraId="6B94A594" w14:textId="34878F39" w:rsidR="00D710F5" w:rsidRDefault="00D710F5" w:rsidP="003E3DFE">
      <w:pPr>
        <w:pStyle w:val="BodyText"/>
        <w:jc w:val="both"/>
      </w:pPr>
      <w:r>
        <w:t xml:space="preserve">The responsibility for dealing with project related grievances will rest with the </w:t>
      </w:r>
      <w:r w:rsidR="008A2CF6">
        <w:t>SSU</w:t>
      </w:r>
      <w:r>
        <w:t xml:space="preserve">.   The </w:t>
      </w:r>
      <w:r w:rsidR="008A2CF6">
        <w:t>SSU</w:t>
      </w:r>
      <w:r w:rsidRPr="00C949A6">
        <w:t xml:space="preserve"> will hire a</w:t>
      </w:r>
      <w:r>
        <w:t>n Environment and</w:t>
      </w:r>
      <w:r w:rsidRPr="00C949A6">
        <w:t xml:space="preserve"> Social Development Specialist who will be responsible for grievance redress, including documentation and record-keeping.</w:t>
      </w:r>
      <w:r>
        <w:t xml:space="preserve"> The </w:t>
      </w:r>
      <w:r w:rsidR="008A2CF6">
        <w:t>SSU</w:t>
      </w:r>
      <w:r>
        <w:t xml:space="preserve"> will devise an online system to keep a record of all complaints, including ensuring that complaints are redirected to the relevant desks.  A complete feedback loop will also be developed so that complainants can record their satisfaction (or otherwise) with how the complaint was dealt with.</w:t>
      </w:r>
    </w:p>
    <w:p w14:paraId="40A11680" w14:textId="77777777" w:rsidR="00D710F5" w:rsidRPr="00FF421E" w:rsidRDefault="00D710F5" w:rsidP="003E3DFE">
      <w:pPr>
        <w:pStyle w:val="BodyText"/>
        <w:jc w:val="both"/>
      </w:pPr>
      <w:r>
        <w:t>Legal recourse is also an option available with the affected parties.  Matters pertaining to policies, service matters, and issues pertaining to tariffs can be taken to service tribunals and the courts.</w:t>
      </w:r>
    </w:p>
    <w:p w14:paraId="7EE91087" w14:textId="77777777" w:rsidR="00D710F5" w:rsidRDefault="00D710F5" w:rsidP="003E3DFE">
      <w:pPr>
        <w:pStyle w:val="Heading2"/>
        <w:jc w:val="both"/>
      </w:pPr>
      <w:bookmarkStart w:id="89" w:name="_Toc436419372"/>
      <w:bookmarkStart w:id="90" w:name="_Toc452826938"/>
      <w:r>
        <w:t>Informal Grievance Redress Mechanism</w:t>
      </w:r>
      <w:bookmarkEnd w:id="89"/>
      <w:bookmarkEnd w:id="90"/>
    </w:p>
    <w:p w14:paraId="4E2BF7B0" w14:textId="77777777" w:rsidR="00D710F5" w:rsidRPr="00306F8A" w:rsidRDefault="00D710F5" w:rsidP="003E3DFE">
      <w:pPr>
        <w:pStyle w:val="BodyText"/>
        <w:jc w:val="both"/>
      </w:pPr>
      <w:r w:rsidRPr="00306F8A">
        <w:t>In addition to formal mechanism</w:t>
      </w:r>
      <w:r>
        <w:t>s</w:t>
      </w:r>
      <w:r w:rsidRPr="00306F8A">
        <w:t>, there also exist informal mechanism</w:t>
      </w:r>
      <w:r>
        <w:t>s</w:t>
      </w:r>
      <w:r w:rsidRPr="00306F8A">
        <w:t xml:space="preserve"> whereby people take complaints and issues to their elected representatives, who in</w:t>
      </w:r>
      <w:r>
        <w:t xml:space="preserve"> </w:t>
      </w:r>
      <w:r w:rsidRPr="00306F8A">
        <w:t xml:space="preserve">turn take these issues </w:t>
      </w:r>
      <w:r>
        <w:t>up with</w:t>
      </w:r>
      <w:r w:rsidRPr="00306F8A">
        <w:t xml:space="preserve"> </w:t>
      </w:r>
      <w:r>
        <w:t>m</w:t>
      </w:r>
      <w:r w:rsidRPr="00306F8A">
        <w:t>inistr</w:t>
      </w:r>
      <w:r>
        <w:t>ies</w:t>
      </w:r>
      <w:r w:rsidRPr="00306F8A">
        <w:t xml:space="preserve">. </w:t>
      </w:r>
      <w:r>
        <w:t xml:space="preserve">  Apart from the political leadership, the media also plays an important role in highlighting grievances.  Such mechanisms have been known to result in policy reviews.</w:t>
      </w:r>
    </w:p>
    <w:p w14:paraId="07CA0377" w14:textId="77777777" w:rsidR="00D710F5" w:rsidRDefault="00D710F5" w:rsidP="003E3DFE">
      <w:pPr>
        <w:pStyle w:val="Heading1"/>
        <w:jc w:val="both"/>
      </w:pPr>
      <w:bookmarkStart w:id="91" w:name="_Toc17966137"/>
      <w:bookmarkStart w:id="92" w:name="_Toc430790385"/>
      <w:bookmarkStart w:id="93" w:name="_Toc436419373"/>
      <w:bookmarkStart w:id="94" w:name="_Toc452826939"/>
      <w:r w:rsidRPr="00AD539C">
        <w:t>Monitoring and Reporting</w:t>
      </w:r>
      <w:bookmarkEnd w:id="91"/>
      <w:bookmarkEnd w:id="92"/>
      <w:bookmarkEnd w:id="93"/>
      <w:bookmarkEnd w:id="94"/>
    </w:p>
    <w:p w14:paraId="6BF3AE9D" w14:textId="70473295" w:rsidR="00D710F5" w:rsidRPr="00F35A93" w:rsidRDefault="00D710F5" w:rsidP="003E3DFE">
      <w:pPr>
        <w:pStyle w:val="BodyText"/>
        <w:jc w:val="both"/>
      </w:pPr>
      <w:r>
        <w:t xml:space="preserve">Overall assessment of the program implementation will be the responsibility of the </w:t>
      </w:r>
      <w:r w:rsidR="00C44A50">
        <w:t>Project Task Force</w:t>
      </w:r>
      <w:r>
        <w:t xml:space="preserve">.  However, monitoring of program activities will be the </w:t>
      </w:r>
      <w:r>
        <w:lastRenderedPageBreak/>
        <w:t xml:space="preserve">responsibility of the </w:t>
      </w:r>
      <w:r w:rsidR="00C44A50">
        <w:t>SSU</w:t>
      </w:r>
      <w:r>
        <w:t xml:space="preserve"> associated with </w:t>
      </w:r>
      <w:r w:rsidR="008F4B65">
        <w:t>MOC</w:t>
      </w:r>
      <w:r w:rsidR="00C44A50">
        <w:t>.</w:t>
      </w:r>
      <w:r>
        <w:t xml:space="preserve">  The </w:t>
      </w:r>
      <w:r w:rsidR="00C44A50">
        <w:t>SSU</w:t>
      </w:r>
      <w:r>
        <w:t xml:space="preserve"> will prepare an M&amp;E plan upon assuming charge, which will specify monitoring methodologies, indicators against which monitoring will be conducted, and schedule for preparation of impact assessments, as well as reporting mechanisms.  This plan is expected to be prepared </w:t>
      </w:r>
      <w:r w:rsidRPr="0027420C">
        <w:t xml:space="preserve">by </w:t>
      </w:r>
      <w:r w:rsidRPr="0047244B">
        <w:t xml:space="preserve">the end of the first </w:t>
      </w:r>
      <w:r w:rsidR="0027420C">
        <w:t xml:space="preserve">quarter </w:t>
      </w:r>
      <w:r>
        <w:t xml:space="preserve">after the </w:t>
      </w:r>
      <w:r w:rsidR="00C44A50">
        <w:t>SSU</w:t>
      </w:r>
      <w:r>
        <w:t xml:space="preserve"> is established.</w:t>
      </w:r>
    </w:p>
    <w:p w14:paraId="7E7EBAB0" w14:textId="77777777" w:rsidR="00D710F5" w:rsidRDefault="00D710F5" w:rsidP="003E3DFE">
      <w:pPr>
        <w:pStyle w:val="Heading2"/>
        <w:jc w:val="both"/>
      </w:pPr>
      <w:bookmarkStart w:id="95" w:name="_Toc430790386"/>
      <w:bookmarkStart w:id="96" w:name="_Toc436419374"/>
      <w:bookmarkStart w:id="97" w:name="_Toc452826940"/>
      <w:r>
        <w:t>Involvement of Stakeholders in Monitoring A</w:t>
      </w:r>
      <w:r w:rsidRPr="00003A52">
        <w:t>ctivities</w:t>
      </w:r>
      <w:bookmarkEnd w:id="95"/>
      <w:bookmarkEnd w:id="96"/>
      <w:bookmarkEnd w:id="97"/>
    </w:p>
    <w:p w14:paraId="5ECCE34D" w14:textId="4F58B321" w:rsidR="00D710F5" w:rsidRDefault="00D710F5" w:rsidP="003E3DFE">
      <w:pPr>
        <w:jc w:val="both"/>
      </w:pPr>
      <w:r>
        <w:t xml:space="preserve">Stakeholder involvement in </w:t>
      </w:r>
      <w:r w:rsidR="0001097D">
        <w:t>monitoring and</w:t>
      </w:r>
      <w:r>
        <w:t xml:space="preserve"> reporting to stakeholder groups will take place as per the following methods.  This information is however indicative </w:t>
      </w:r>
      <w:proofErr w:type="gramStart"/>
      <w:r>
        <w:t>at the moment</w:t>
      </w:r>
      <w:proofErr w:type="gramEnd"/>
      <w:r>
        <w:t xml:space="preserve"> and will be finalized when the M&amp;E plan is formulated.</w:t>
      </w:r>
    </w:p>
    <w:p w14:paraId="7538FA6E" w14:textId="77777777" w:rsidR="00D710F5" w:rsidRDefault="00D710F5" w:rsidP="00D710F5">
      <w:pPr>
        <w:pStyle w:val="TableTitle"/>
      </w:pPr>
      <w:r>
        <w:t>Table 8.1:  Stakeholders and M&amp;E</w:t>
      </w:r>
    </w:p>
    <w:tbl>
      <w:tblPr>
        <w:tblW w:w="5000" w:type="pct"/>
        <w:jc w:val="center"/>
        <w:tblBorders>
          <w:top w:val="single" w:sz="8" w:space="0" w:color="auto"/>
          <w:bottom w:val="single" w:sz="8" w:space="0" w:color="auto"/>
          <w:insideH w:val="dotted" w:sz="8" w:space="0" w:color="auto"/>
        </w:tblBorders>
        <w:tblCellMar>
          <w:left w:w="72" w:type="dxa"/>
          <w:right w:w="72" w:type="dxa"/>
        </w:tblCellMar>
        <w:tblLook w:val="04A0" w:firstRow="1" w:lastRow="0" w:firstColumn="1" w:lastColumn="0" w:noHBand="0" w:noVBand="1"/>
      </w:tblPr>
      <w:tblGrid>
        <w:gridCol w:w="3480"/>
        <w:gridCol w:w="2580"/>
        <w:gridCol w:w="2580"/>
      </w:tblGrid>
      <w:tr w:rsidR="00D710F5" w:rsidRPr="00141E01" w14:paraId="62EBA860" w14:textId="77777777" w:rsidTr="0095284D">
        <w:trPr>
          <w:tblHeader/>
          <w:jc w:val="center"/>
        </w:trPr>
        <w:tc>
          <w:tcPr>
            <w:tcW w:w="2014" w:type="pct"/>
            <w:shd w:val="clear" w:color="auto" w:fill="auto"/>
          </w:tcPr>
          <w:p w14:paraId="25EC38A9" w14:textId="766C727D" w:rsidR="00D710F5" w:rsidRPr="00141E01" w:rsidRDefault="00D710F5" w:rsidP="0095284D">
            <w:pPr>
              <w:pStyle w:val="TableHead"/>
              <w:suppressAutoHyphens/>
              <w:rPr>
                <w:szCs w:val="18"/>
              </w:rPr>
            </w:pPr>
            <w:r w:rsidRPr="00141E01">
              <w:rPr>
                <w:szCs w:val="18"/>
              </w:rPr>
              <w:t>Activities/</w:t>
            </w:r>
            <w:r w:rsidR="00763736">
              <w:rPr>
                <w:szCs w:val="18"/>
              </w:rPr>
              <w:t>PBC</w:t>
            </w:r>
            <w:r w:rsidRPr="00141E01">
              <w:rPr>
                <w:szCs w:val="18"/>
              </w:rPr>
              <w:t>s</w:t>
            </w:r>
          </w:p>
        </w:tc>
        <w:tc>
          <w:tcPr>
            <w:tcW w:w="1493" w:type="pct"/>
            <w:shd w:val="clear" w:color="auto" w:fill="auto"/>
          </w:tcPr>
          <w:p w14:paraId="7246780B" w14:textId="77777777" w:rsidR="00D710F5" w:rsidRPr="00141E01" w:rsidRDefault="00D710F5" w:rsidP="0095284D">
            <w:pPr>
              <w:pStyle w:val="TableHead"/>
              <w:suppressAutoHyphens/>
              <w:rPr>
                <w:szCs w:val="18"/>
              </w:rPr>
            </w:pPr>
            <w:r w:rsidRPr="00141E01">
              <w:rPr>
                <w:szCs w:val="18"/>
              </w:rPr>
              <w:t>Involvement Mechanisms</w:t>
            </w:r>
          </w:p>
        </w:tc>
        <w:tc>
          <w:tcPr>
            <w:tcW w:w="1493" w:type="pct"/>
            <w:shd w:val="clear" w:color="auto" w:fill="auto"/>
          </w:tcPr>
          <w:p w14:paraId="1478373C" w14:textId="77777777" w:rsidR="00D710F5" w:rsidRPr="00141E01" w:rsidRDefault="00D710F5" w:rsidP="0095284D">
            <w:pPr>
              <w:pStyle w:val="TableHead"/>
              <w:suppressAutoHyphens/>
              <w:rPr>
                <w:szCs w:val="18"/>
              </w:rPr>
            </w:pPr>
            <w:r w:rsidRPr="00141E01">
              <w:rPr>
                <w:szCs w:val="18"/>
              </w:rPr>
              <w:t>Mechanisms for Reporting Back to Stakeholders</w:t>
            </w:r>
          </w:p>
        </w:tc>
      </w:tr>
      <w:tr w:rsidR="00D710F5" w:rsidRPr="00141E01" w14:paraId="6C60CF29" w14:textId="77777777" w:rsidTr="0095284D">
        <w:trPr>
          <w:jc w:val="center"/>
        </w:trPr>
        <w:tc>
          <w:tcPr>
            <w:tcW w:w="2014" w:type="pct"/>
            <w:shd w:val="clear" w:color="auto" w:fill="auto"/>
          </w:tcPr>
          <w:p w14:paraId="05A751D5" w14:textId="3BB68108" w:rsidR="00D710F5" w:rsidRDefault="00EA2E5D" w:rsidP="0095284D">
            <w:pPr>
              <w:pStyle w:val="TableEntry"/>
              <w:rPr>
                <w:rFonts w:eastAsia="Calibri"/>
              </w:rPr>
            </w:pPr>
            <w:r w:rsidRPr="00EA2E5D">
              <w:rPr>
                <w:rFonts w:eastAsia="Calibri"/>
              </w:rPr>
              <w:t xml:space="preserve">Establishment of </w:t>
            </w:r>
            <w:r w:rsidR="00CF574F">
              <w:rPr>
                <w:rFonts w:eastAsia="Calibri"/>
              </w:rPr>
              <w:t>PGG Board</w:t>
            </w:r>
            <w:r w:rsidR="00D710F5">
              <w:rPr>
                <w:rFonts w:eastAsia="Calibri"/>
              </w:rPr>
              <w:t>:</w:t>
            </w:r>
            <w:r w:rsidR="00D710F5" w:rsidRPr="00422D62">
              <w:rPr>
                <w:rFonts w:eastAsia="Calibri"/>
              </w:rPr>
              <w:t xml:space="preserve">  </w:t>
            </w:r>
          </w:p>
          <w:p w14:paraId="7EFAFB84" w14:textId="77777777" w:rsidR="00D710F5" w:rsidRDefault="00D710F5" w:rsidP="0095284D">
            <w:pPr>
              <w:pStyle w:val="TableEntry"/>
              <w:rPr>
                <w:rFonts w:eastAsia="Calibri"/>
              </w:rPr>
            </w:pPr>
          </w:p>
          <w:p w14:paraId="7D8FFE6C" w14:textId="77777777" w:rsidR="00D710F5" w:rsidRDefault="00D710F5" w:rsidP="0095284D">
            <w:pPr>
              <w:pStyle w:val="TableEntry"/>
              <w:rPr>
                <w:rFonts w:eastAsia="Calibri"/>
              </w:rPr>
            </w:pPr>
            <w:r w:rsidRPr="00422D62">
              <w:rPr>
                <w:rFonts w:eastAsia="Calibri"/>
              </w:rPr>
              <w:t xml:space="preserve">This requires the </w:t>
            </w:r>
            <w:r>
              <w:rPr>
                <w:rFonts w:eastAsia="Calibri"/>
              </w:rPr>
              <w:t>improved</w:t>
            </w:r>
            <w:r w:rsidRPr="00422D62">
              <w:rPr>
                <w:rFonts w:eastAsia="Calibri"/>
              </w:rPr>
              <w:t xml:space="preserve"> coordination among institutions with mandates over trade and competitiveness policies. </w:t>
            </w:r>
          </w:p>
          <w:p w14:paraId="18205EA9" w14:textId="77777777" w:rsidR="00D710F5" w:rsidRPr="00422D62" w:rsidRDefault="00D710F5" w:rsidP="0095284D">
            <w:pPr>
              <w:pStyle w:val="TableEntry"/>
              <w:rPr>
                <w:rFonts w:eastAsia="Calibri"/>
              </w:rPr>
            </w:pPr>
          </w:p>
          <w:p w14:paraId="2CDC42C0" w14:textId="6380D1C4" w:rsidR="00D710F5" w:rsidRPr="00141E01" w:rsidRDefault="00D710F5" w:rsidP="00CF574F">
            <w:pPr>
              <w:pStyle w:val="TableEntry"/>
              <w:rPr>
                <w:color w:val="000000"/>
                <w:sz w:val="20"/>
              </w:rPr>
            </w:pPr>
            <w:r w:rsidRPr="00422D62">
              <w:rPr>
                <w:rFonts w:eastAsia="Calibri"/>
              </w:rPr>
              <w:t xml:space="preserve">Creation of a Monitoring and Evaluation Center of Public Policies (under </w:t>
            </w:r>
            <w:r w:rsidR="00CF574F">
              <w:rPr>
                <w:rFonts w:eastAsia="Calibri"/>
              </w:rPr>
              <w:t>PGG Board</w:t>
            </w:r>
            <w:r w:rsidRPr="00422D62">
              <w:rPr>
                <w:rFonts w:eastAsia="Calibri"/>
              </w:rPr>
              <w:t>)</w:t>
            </w:r>
            <w:r>
              <w:rPr>
                <w:rFonts w:eastAsia="Calibri"/>
              </w:rPr>
              <w:t xml:space="preserve">. This would </w:t>
            </w:r>
            <w:r w:rsidRPr="00422D62">
              <w:rPr>
                <w:rFonts w:eastAsia="Calibri"/>
              </w:rPr>
              <w:t xml:space="preserve">help increase the efficiency and effectiveness of T&amp;C public policies, and the transparency and accountability of public institutions. </w:t>
            </w:r>
          </w:p>
        </w:tc>
        <w:tc>
          <w:tcPr>
            <w:tcW w:w="1493" w:type="pct"/>
            <w:shd w:val="clear" w:color="auto" w:fill="auto"/>
          </w:tcPr>
          <w:p w14:paraId="18F992EC" w14:textId="77777777" w:rsidR="00D710F5" w:rsidRPr="00141E01" w:rsidRDefault="00D710F5" w:rsidP="0095284D">
            <w:pPr>
              <w:pStyle w:val="TableEntry"/>
              <w:suppressAutoHyphens/>
              <w:rPr>
                <w:szCs w:val="18"/>
              </w:rPr>
            </w:pPr>
            <w:r w:rsidRPr="00141E01">
              <w:rPr>
                <w:szCs w:val="18"/>
              </w:rPr>
              <w:t>Qualitative data collection through focus group discussions.  Small surveys.  These will be evaluation specific</w:t>
            </w:r>
          </w:p>
        </w:tc>
        <w:tc>
          <w:tcPr>
            <w:tcW w:w="1493" w:type="pct"/>
            <w:shd w:val="clear" w:color="auto" w:fill="auto"/>
          </w:tcPr>
          <w:p w14:paraId="3986330A" w14:textId="77777777" w:rsidR="00D710F5" w:rsidRPr="00141E01" w:rsidRDefault="00D710F5" w:rsidP="0095284D">
            <w:pPr>
              <w:pStyle w:val="TableEntry"/>
              <w:suppressAutoHyphens/>
              <w:rPr>
                <w:szCs w:val="18"/>
              </w:rPr>
            </w:pPr>
            <w:r w:rsidRPr="00141E01">
              <w:rPr>
                <w:szCs w:val="18"/>
              </w:rPr>
              <w:t>M&amp;E reports to be disseminated to sector stakeholders, industry associations, and posted on program website/websites of concerned institutions</w:t>
            </w:r>
          </w:p>
        </w:tc>
      </w:tr>
      <w:tr w:rsidR="00D710F5" w:rsidRPr="00141E01" w14:paraId="1D2FAE8B" w14:textId="77777777" w:rsidTr="0095284D">
        <w:trPr>
          <w:jc w:val="center"/>
        </w:trPr>
        <w:tc>
          <w:tcPr>
            <w:tcW w:w="2014" w:type="pct"/>
            <w:shd w:val="clear" w:color="auto" w:fill="auto"/>
          </w:tcPr>
          <w:p w14:paraId="4DE92800" w14:textId="75517FAC" w:rsidR="00D710F5" w:rsidRDefault="0033425D" w:rsidP="0095284D">
            <w:pPr>
              <w:pStyle w:val="TableEntry"/>
              <w:rPr>
                <w:rFonts w:eastAsia="Calibri"/>
              </w:rPr>
            </w:pPr>
            <w:r>
              <w:rPr>
                <w:rFonts w:eastAsia="Calibri"/>
              </w:rPr>
              <w:t xml:space="preserve">One stop </w:t>
            </w:r>
            <w:proofErr w:type="gramStart"/>
            <w:r>
              <w:rPr>
                <w:rFonts w:eastAsia="Calibri"/>
              </w:rPr>
              <w:t>shop</w:t>
            </w:r>
            <w:proofErr w:type="gramEnd"/>
            <w:r>
              <w:rPr>
                <w:rFonts w:eastAsia="Calibri"/>
              </w:rPr>
              <w:t xml:space="preserve"> for business registration and licensing</w:t>
            </w:r>
          </w:p>
          <w:p w14:paraId="04B06D88" w14:textId="77777777" w:rsidR="00D710F5" w:rsidRDefault="00D710F5" w:rsidP="0095284D">
            <w:pPr>
              <w:pStyle w:val="TableEntry"/>
              <w:rPr>
                <w:rFonts w:eastAsia="Calibri"/>
              </w:rPr>
            </w:pPr>
            <w:r>
              <w:rPr>
                <w:rFonts w:eastAsia="Calibri"/>
              </w:rPr>
              <w:t xml:space="preserve"> </w:t>
            </w:r>
          </w:p>
          <w:p w14:paraId="7F66B299" w14:textId="77777777" w:rsidR="00D710F5" w:rsidRDefault="00D710F5" w:rsidP="0095284D">
            <w:pPr>
              <w:pStyle w:val="TableEntry"/>
              <w:rPr>
                <w:rFonts w:eastAsia="Calibri"/>
              </w:rPr>
            </w:pPr>
            <w:r w:rsidRPr="00FD2190">
              <w:rPr>
                <w:rFonts w:eastAsia="Calibri"/>
              </w:rPr>
              <w:t>This</w:t>
            </w:r>
            <w:r>
              <w:rPr>
                <w:rFonts w:eastAsia="Calibri"/>
              </w:rPr>
              <w:t xml:space="preserve"> would </w:t>
            </w:r>
            <w:r w:rsidRPr="00FD2190">
              <w:rPr>
                <w:rFonts w:eastAsia="Calibri"/>
              </w:rPr>
              <w:t xml:space="preserve">help modernize the Government of Pakistan in areas related to licensing and registration. </w:t>
            </w:r>
          </w:p>
          <w:p w14:paraId="21DEA0A1" w14:textId="77777777" w:rsidR="00D710F5" w:rsidRPr="0075417F" w:rsidRDefault="00D710F5" w:rsidP="0095284D">
            <w:pPr>
              <w:pStyle w:val="TableEntry"/>
              <w:rPr>
                <w:rFonts w:eastAsia="Calibri"/>
              </w:rPr>
            </w:pPr>
            <w:r>
              <w:rPr>
                <w:rFonts w:eastAsia="Calibri"/>
              </w:rPr>
              <w:t xml:space="preserve">Pakistan Business Platform and repayment systems would be introduced for facilitation of the business community. </w:t>
            </w:r>
          </w:p>
          <w:p w14:paraId="74C4FC81" w14:textId="77777777" w:rsidR="00D710F5" w:rsidRPr="00141E01" w:rsidRDefault="00D710F5" w:rsidP="0095284D">
            <w:pPr>
              <w:pStyle w:val="TableEntry"/>
              <w:rPr>
                <w:color w:val="000000"/>
                <w:sz w:val="20"/>
              </w:rPr>
            </w:pPr>
          </w:p>
        </w:tc>
        <w:tc>
          <w:tcPr>
            <w:tcW w:w="1493" w:type="pct"/>
            <w:shd w:val="clear" w:color="auto" w:fill="auto"/>
          </w:tcPr>
          <w:p w14:paraId="4417CDA9" w14:textId="77777777" w:rsidR="00D710F5" w:rsidRPr="00141E01" w:rsidRDefault="00D710F5" w:rsidP="0095284D">
            <w:pPr>
              <w:pStyle w:val="TableEntry"/>
              <w:suppressAutoHyphens/>
              <w:rPr>
                <w:szCs w:val="18"/>
              </w:rPr>
            </w:pPr>
            <w:r w:rsidRPr="00141E01">
              <w:rPr>
                <w:szCs w:val="18"/>
              </w:rPr>
              <w:t>Portal to include statistics on use</w:t>
            </w:r>
          </w:p>
        </w:tc>
        <w:tc>
          <w:tcPr>
            <w:tcW w:w="1493" w:type="pct"/>
            <w:shd w:val="clear" w:color="auto" w:fill="auto"/>
          </w:tcPr>
          <w:p w14:paraId="60399C57" w14:textId="77777777" w:rsidR="00D710F5" w:rsidRPr="00141E01" w:rsidRDefault="00D710F5" w:rsidP="0095284D">
            <w:pPr>
              <w:pStyle w:val="TableEntry"/>
              <w:suppressAutoHyphens/>
              <w:rPr>
                <w:szCs w:val="18"/>
              </w:rPr>
            </w:pPr>
            <w:r w:rsidRPr="00141E01">
              <w:rPr>
                <w:szCs w:val="18"/>
              </w:rPr>
              <w:t>Statistics on portal use to be available on the portal itself</w:t>
            </w:r>
          </w:p>
        </w:tc>
      </w:tr>
      <w:tr w:rsidR="00D710F5" w:rsidRPr="00141E01" w14:paraId="1EFDEFDE" w14:textId="77777777" w:rsidTr="0095284D">
        <w:trPr>
          <w:jc w:val="center"/>
        </w:trPr>
        <w:tc>
          <w:tcPr>
            <w:tcW w:w="2014" w:type="pct"/>
            <w:shd w:val="clear" w:color="auto" w:fill="auto"/>
          </w:tcPr>
          <w:p w14:paraId="0D4B7336" w14:textId="0CEDB9C4" w:rsidR="00EA2E5D" w:rsidRPr="00EA2E5D" w:rsidRDefault="00EA2E5D" w:rsidP="00EA2E5D">
            <w:pPr>
              <w:pStyle w:val="TableEntry"/>
              <w:rPr>
                <w:rFonts w:eastAsia="Calibri"/>
              </w:rPr>
            </w:pPr>
            <w:r w:rsidRPr="00EA2E5D">
              <w:rPr>
                <w:rFonts w:eastAsia="Calibri"/>
              </w:rPr>
              <w:t xml:space="preserve">Strengthening of </w:t>
            </w:r>
            <w:r w:rsidR="00D56F3B">
              <w:t>TPW in MOC, and NTC</w:t>
            </w:r>
          </w:p>
          <w:p w14:paraId="228F8F2C" w14:textId="77777777" w:rsidR="00EA2E5D" w:rsidRPr="00EA2E5D" w:rsidRDefault="00EA2E5D" w:rsidP="00EA2E5D">
            <w:pPr>
              <w:pStyle w:val="TableEntry"/>
              <w:rPr>
                <w:rFonts w:eastAsia="Calibri"/>
              </w:rPr>
            </w:pPr>
          </w:p>
          <w:p w14:paraId="7874596E" w14:textId="77777777" w:rsidR="00EA2E5D" w:rsidRPr="00EA2E5D" w:rsidRDefault="00EA2E5D" w:rsidP="00EA2E5D">
            <w:pPr>
              <w:pStyle w:val="TableEntry"/>
              <w:rPr>
                <w:rFonts w:eastAsia="Calibri"/>
              </w:rPr>
            </w:pPr>
            <w:r w:rsidRPr="00EA2E5D">
              <w:rPr>
                <w:rFonts w:eastAsia="Calibri"/>
              </w:rPr>
              <w:t>This would address the anti-export bias in tariff policy</w:t>
            </w:r>
          </w:p>
          <w:p w14:paraId="61470001" w14:textId="2297D7FC" w:rsidR="00D710F5" w:rsidRPr="00141E01" w:rsidRDefault="00EA2E5D" w:rsidP="00EA2E5D">
            <w:pPr>
              <w:pStyle w:val="TableEntry"/>
              <w:rPr>
                <w:color w:val="000000"/>
                <w:sz w:val="20"/>
              </w:rPr>
            </w:pPr>
            <w:r w:rsidRPr="00EA2E5D">
              <w:rPr>
                <w:rFonts w:eastAsia="Calibri"/>
                <w:color w:val="000000"/>
                <w:sz w:val="20"/>
              </w:rPr>
              <w:t xml:space="preserve"> </w:t>
            </w:r>
          </w:p>
        </w:tc>
        <w:tc>
          <w:tcPr>
            <w:tcW w:w="1493" w:type="pct"/>
            <w:shd w:val="clear" w:color="auto" w:fill="auto"/>
          </w:tcPr>
          <w:p w14:paraId="7BD81CF9" w14:textId="77777777" w:rsidR="00D710F5" w:rsidRPr="00141E01" w:rsidRDefault="00D710F5" w:rsidP="0095284D">
            <w:pPr>
              <w:pStyle w:val="TableEntry"/>
              <w:suppressAutoHyphens/>
              <w:rPr>
                <w:szCs w:val="18"/>
              </w:rPr>
            </w:pPr>
            <w:r w:rsidRPr="00141E01">
              <w:rPr>
                <w:szCs w:val="18"/>
              </w:rPr>
              <w:t xml:space="preserve">Consultation workshops </w:t>
            </w:r>
          </w:p>
        </w:tc>
        <w:tc>
          <w:tcPr>
            <w:tcW w:w="1493" w:type="pct"/>
            <w:shd w:val="clear" w:color="auto" w:fill="auto"/>
          </w:tcPr>
          <w:p w14:paraId="2CDC6AE7" w14:textId="77777777" w:rsidR="00D710F5" w:rsidRPr="00141E01" w:rsidRDefault="00D710F5" w:rsidP="0095284D">
            <w:pPr>
              <w:pStyle w:val="TableEntry"/>
              <w:suppressAutoHyphens/>
              <w:rPr>
                <w:szCs w:val="18"/>
              </w:rPr>
            </w:pPr>
            <w:r w:rsidRPr="00141E01">
              <w:rPr>
                <w:szCs w:val="18"/>
              </w:rPr>
              <w:t>Reports of consultation workshops to be publicized online and hard copies distributed to industry associations</w:t>
            </w:r>
          </w:p>
        </w:tc>
      </w:tr>
      <w:tr w:rsidR="00D710F5" w:rsidRPr="00141E01" w14:paraId="03C91E37" w14:textId="77777777" w:rsidTr="0095284D">
        <w:trPr>
          <w:jc w:val="center"/>
        </w:trPr>
        <w:tc>
          <w:tcPr>
            <w:tcW w:w="2014" w:type="pct"/>
            <w:shd w:val="clear" w:color="auto" w:fill="auto"/>
          </w:tcPr>
          <w:p w14:paraId="0EE7EA39" w14:textId="27D72CA5" w:rsidR="00D710F5" w:rsidRPr="00C949A6" w:rsidRDefault="00EA2E5D" w:rsidP="0095284D">
            <w:pPr>
              <w:pStyle w:val="TableEntry"/>
              <w:rPr>
                <w:rFonts w:eastAsia="Calibri"/>
              </w:rPr>
            </w:pPr>
            <w:r>
              <w:rPr>
                <w:bCs/>
              </w:rPr>
              <w:t>Modernizing</w:t>
            </w:r>
            <w:r w:rsidR="00D710F5" w:rsidRPr="00C949A6">
              <w:rPr>
                <w:bCs/>
              </w:rPr>
              <w:t xml:space="preserve"> trade diplomacy</w:t>
            </w:r>
            <w:r w:rsidR="00D710F5" w:rsidRPr="00C949A6">
              <w:rPr>
                <w:rFonts w:eastAsia="Calibri"/>
              </w:rPr>
              <w:t>:</w:t>
            </w:r>
          </w:p>
          <w:p w14:paraId="721146A0" w14:textId="77777777" w:rsidR="00D710F5" w:rsidRDefault="00D710F5" w:rsidP="0095284D">
            <w:pPr>
              <w:pStyle w:val="TableEntry"/>
              <w:rPr>
                <w:rFonts w:eastAsia="Calibri"/>
              </w:rPr>
            </w:pPr>
          </w:p>
          <w:p w14:paraId="1BCF51A0" w14:textId="77777777" w:rsidR="00D710F5" w:rsidRDefault="00D710F5" w:rsidP="0095284D">
            <w:pPr>
              <w:pStyle w:val="TableEntry"/>
              <w:rPr>
                <w:b/>
                <w:i/>
              </w:rPr>
            </w:pPr>
            <w:r>
              <w:rPr>
                <w:rFonts w:eastAsia="Calibri"/>
              </w:rPr>
              <w:t xml:space="preserve">This to be achieved </w:t>
            </w:r>
            <w:r w:rsidRPr="00FD2190">
              <w:rPr>
                <w:rFonts w:eastAsia="Calibri"/>
              </w:rPr>
              <w:t>through better incentive schemes</w:t>
            </w:r>
            <w:r>
              <w:rPr>
                <w:rFonts w:eastAsia="Calibri"/>
              </w:rPr>
              <w:t xml:space="preserve"> and improving the perception of Pakistani brands in international markets.</w:t>
            </w:r>
          </w:p>
          <w:p w14:paraId="7B7B375F" w14:textId="77777777" w:rsidR="00D710F5" w:rsidRPr="00141E01" w:rsidRDefault="00D710F5" w:rsidP="0095284D">
            <w:pPr>
              <w:pStyle w:val="TableEntry"/>
              <w:rPr>
                <w:color w:val="000000"/>
                <w:sz w:val="20"/>
              </w:rPr>
            </w:pPr>
          </w:p>
        </w:tc>
        <w:tc>
          <w:tcPr>
            <w:tcW w:w="1493" w:type="pct"/>
            <w:shd w:val="clear" w:color="auto" w:fill="auto"/>
          </w:tcPr>
          <w:p w14:paraId="410825F5" w14:textId="16FC4FC6" w:rsidR="00D710F5" w:rsidRPr="00141E01" w:rsidRDefault="00D710F5" w:rsidP="0095284D">
            <w:pPr>
              <w:pStyle w:val="TableEntry"/>
              <w:suppressAutoHyphens/>
              <w:rPr>
                <w:szCs w:val="18"/>
              </w:rPr>
            </w:pPr>
            <w:r w:rsidRPr="00141E01">
              <w:rPr>
                <w:szCs w:val="18"/>
              </w:rPr>
              <w:t xml:space="preserve">Recruitment committee of </w:t>
            </w:r>
            <w:r w:rsidR="008F4B65">
              <w:rPr>
                <w:szCs w:val="18"/>
              </w:rPr>
              <w:t>MOC</w:t>
            </w:r>
            <w:r w:rsidRPr="00141E01">
              <w:rPr>
                <w:szCs w:val="18"/>
              </w:rPr>
              <w:t xml:space="preserve"> to ensure that criteria is followed</w:t>
            </w:r>
          </w:p>
        </w:tc>
        <w:tc>
          <w:tcPr>
            <w:tcW w:w="1493" w:type="pct"/>
            <w:shd w:val="clear" w:color="auto" w:fill="auto"/>
          </w:tcPr>
          <w:p w14:paraId="70A4F7F3" w14:textId="77777777" w:rsidR="00D710F5" w:rsidRPr="00141E01" w:rsidRDefault="00D710F5" w:rsidP="0095284D">
            <w:pPr>
              <w:pStyle w:val="TableEntry"/>
              <w:suppressAutoHyphens/>
              <w:rPr>
                <w:szCs w:val="18"/>
              </w:rPr>
            </w:pPr>
            <w:r w:rsidRPr="00141E01">
              <w:rPr>
                <w:szCs w:val="18"/>
              </w:rPr>
              <w:t>-</w:t>
            </w:r>
          </w:p>
        </w:tc>
      </w:tr>
      <w:tr w:rsidR="00D710F5" w:rsidRPr="00141E01" w14:paraId="16F6515E" w14:textId="77777777" w:rsidTr="0095284D">
        <w:trPr>
          <w:jc w:val="center"/>
        </w:trPr>
        <w:tc>
          <w:tcPr>
            <w:tcW w:w="2014" w:type="pct"/>
            <w:shd w:val="clear" w:color="auto" w:fill="auto"/>
          </w:tcPr>
          <w:p w14:paraId="5598DE0D" w14:textId="7F7326F8" w:rsidR="00D710F5" w:rsidRDefault="00EA2E5D" w:rsidP="0095284D">
            <w:pPr>
              <w:pStyle w:val="TableEntry"/>
              <w:rPr>
                <w:bCs/>
              </w:rPr>
            </w:pPr>
            <w:r>
              <w:rPr>
                <w:bCs/>
              </w:rPr>
              <w:t>Country</w:t>
            </w:r>
            <w:r w:rsidR="00D710F5" w:rsidRPr="00C949A6">
              <w:rPr>
                <w:bCs/>
              </w:rPr>
              <w:t xml:space="preserve"> branding campaign</w:t>
            </w:r>
            <w:r w:rsidR="00D710F5">
              <w:rPr>
                <w:bCs/>
              </w:rPr>
              <w:t>:</w:t>
            </w:r>
          </w:p>
          <w:p w14:paraId="648B69CB" w14:textId="77777777" w:rsidR="00D710F5" w:rsidRPr="00C949A6" w:rsidRDefault="00D710F5" w:rsidP="0095284D">
            <w:pPr>
              <w:pStyle w:val="TableEntry"/>
              <w:rPr>
                <w:bCs/>
              </w:rPr>
            </w:pPr>
          </w:p>
          <w:p w14:paraId="53667F1D" w14:textId="77777777" w:rsidR="00D710F5" w:rsidRDefault="00D710F5" w:rsidP="0095284D">
            <w:pPr>
              <w:pStyle w:val="TableEntry"/>
              <w:rPr>
                <w:rFonts w:eastAsia="Calibri"/>
                <w:b/>
              </w:rPr>
            </w:pPr>
            <w:r w:rsidRPr="00A25C82">
              <w:rPr>
                <w:rFonts w:eastAsia="Calibri"/>
              </w:rPr>
              <w:lastRenderedPageBreak/>
              <w:t xml:space="preserve">The creation and implementation of a country branding campaign will directly contribute </w:t>
            </w:r>
            <w:r>
              <w:rPr>
                <w:rFonts w:eastAsia="Calibri"/>
              </w:rPr>
              <w:t xml:space="preserve">by </w:t>
            </w:r>
            <w:r w:rsidRPr="00A25C82">
              <w:rPr>
                <w:rFonts w:eastAsia="Calibri"/>
              </w:rPr>
              <w:t>increasing visibility of Pakistan as a source of export goods and services and as destination for investment</w:t>
            </w:r>
            <w:r>
              <w:rPr>
                <w:rFonts w:eastAsia="Calibri"/>
              </w:rPr>
              <w:t>.</w:t>
            </w:r>
          </w:p>
          <w:p w14:paraId="1E276ABB" w14:textId="77777777" w:rsidR="00D710F5" w:rsidRPr="00FD2190" w:rsidRDefault="00D710F5" w:rsidP="0095284D">
            <w:pPr>
              <w:pStyle w:val="TableEntry"/>
              <w:rPr>
                <w:rFonts w:eastAsia="Calibri"/>
              </w:rPr>
            </w:pPr>
          </w:p>
        </w:tc>
        <w:tc>
          <w:tcPr>
            <w:tcW w:w="1493" w:type="pct"/>
            <w:shd w:val="clear" w:color="auto" w:fill="auto"/>
          </w:tcPr>
          <w:p w14:paraId="693650B0" w14:textId="77777777" w:rsidR="00D710F5" w:rsidRDefault="00D710F5" w:rsidP="0095284D">
            <w:pPr>
              <w:pStyle w:val="TableEntry"/>
              <w:suppressAutoHyphens/>
              <w:rPr>
                <w:szCs w:val="18"/>
              </w:rPr>
            </w:pPr>
            <w:r>
              <w:rPr>
                <w:szCs w:val="18"/>
              </w:rPr>
              <w:lastRenderedPageBreak/>
              <w:t>Consultations workshops</w:t>
            </w:r>
          </w:p>
          <w:p w14:paraId="63C25816" w14:textId="77777777" w:rsidR="00D710F5" w:rsidRDefault="00D710F5" w:rsidP="0095284D">
            <w:pPr>
              <w:pStyle w:val="TableEntry"/>
              <w:suppressAutoHyphens/>
              <w:rPr>
                <w:szCs w:val="18"/>
              </w:rPr>
            </w:pPr>
          </w:p>
          <w:p w14:paraId="31BA3044" w14:textId="77777777" w:rsidR="00D710F5" w:rsidRPr="00141E01" w:rsidRDefault="00D710F5" w:rsidP="0095284D">
            <w:pPr>
              <w:pStyle w:val="TableEntry"/>
              <w:suppressAutoHyphens/>
              <w:rPr>
                <w:szCs w:val="18"/>
              </w:rPr>
            </w:pPr>
            <w:r>
              <w:rPr>
                <w:szCs w:val="18"/>
              </w:rPr>
              <w:lastRenderedPageBreak/>
              <w:t>Steering committee to review progress</w:t>
            </w:r>
          </w:p>
        </w:tc>
        <w:tc>
          <w:tcPr>
            <w:tcW w:w="1493" w:type="pct"/>
            <w:shd w:val="clear" w:color="auto" w:fill="auto"/>
          </w:tcPr>
          <w:p w14:paraId="4EDA663C" w14:textId="77777777" w:rsidR="00D710F5" w:rsidRDefault="00D710F5" w:rsidP="0095284D">
            <w:pPr>
              <w:pStyle w:val="TableEntry"/>
              <w:suppressAutoHyphens/>
              <w:rPr>
                <w:szCs w:val="18"/>
              </w:rPr>
            </w:pPr>
            <w:r w:rsidRPr="00141E01">
              <w:rPr>
                <w:szCs w:val="18"/>
              </w:rPr>
              <w:lastRenderedPageBreak/>
              <w:t xml:space="preserve">Reports of consultation workshops to be publicized online and hard copies </w:t>
            </w:r>
            <w:r w:rsidRPr="00141E01">
              <w:rPr>
                <w:szCs w:val="18"/>
              </w:rPr>
              <w:lastRenderedPageBreak/>
              <w:t>distributed to industry associations</w:t>
            </w:r>
          </w:p>
          <w:p w14:paraId="2B90FB38" w14:textId="77777777" w:rsidR="00D710F5" w:rsidRDefault="00D710F5" w:rsidP="0095284D">
            <w:pPr>
              <w:pStyle w:val="TableEntry"/>
              <w:suppressAutoHyphens/>
              <w:rPr>
                <w:szCs w:val="18"/>
              </w:rPr>
            </w:pPr>
          </w:p>
          <w:p w14:paraId="74024AA3" w14:textId="77777777" w:rsidR="00D710F5" w:rsidRPr="00141E01" w:rsidRDefault="00D710F5" w:rsidP="0095284D">
            <w:pPr>
              <w:pStyle w:val="TableEntry"/>
              <w:suppressAutoHyphens/>
              <w:rPr>
                <w:szCs w:val="18"/>
              </w:rPr>
            </w:pPr>
            <w:r>
              <w:rPr>
                <w:szCs w:val="18"/>
              </w:rPr>
              <w:t>Report on the impact of the branding campaign</w:t>
            </w:r>
          </w:p>
        </w:tc>
      </w:tr>
      <w:tr w:rsidR="00D710F5" w:rsidRPr="00141E01" w14:paraId="3547B74D" w14:textId="77777777" w:rsidTr="0095284D">
        <w:trPr>
          <w:jc w:val="center"/>
        </w:trPr>
        <w:tc>
          <w:tcPr>
            <w:tcW w:w="2014" w:type="pct"/>
            <w:shd w:val="clear" w:color="auto" w:fill="auto"/>
          </w:tcPr>
          <w:p w14:paraId="149D9E7B" w14:textId="79A453A9" w:rsidR="00D710F5" w:rsidRDefault="00D56F3B" w:rsidP="0095284D">
            <w:pPr>
              <w:pStyle w:val="TableEntry"/>
              <w:rPr>
                <w:bCs/>
              </w:rPr>
            </w:pPr>
            <w:r>
              <w:rPr>
                <w:bCs/>
              </w:rPr>
              <w:lastRenderedPageBreak/>
              <w:t>Export intelligence services</w:t>
            </w:r>
          </w:p>
          <w:p w14:paraId="7DD598DD" w14:textId="77777777" w:rsidR="00D710F5" w:rsidRPr="00C949A6" w:rsidRDefault="00D710F5" w:rsidP="0095284D">
            <w:pPr>
              <w:pStyle w:val="TableEntry"/>
              <w:rPr>
                <w:bCs/>
              </w:rPr>
            </w:pPr>
            <w:r w:rsidRPr="00C949A6" w:rsidDel="00A25C82">
              <w:rPr>
                <w:bCs/>
              </w:rPr>
              <w:t xml:space="preserve"> </w:t>
            </w:r>
          </w:p>
          <w:p w14:paraId="065661BB" w14:textId="3ACF20E0" w:rsidR="00D710F5" w:rsidRPr="0075417F" w:rsidRDefault="009866FD" w:rsidP="0095284D">
            <w:pPr>
              <w:pStyle w:val="TableEntry"/>
            </w:pPr>
            <w:r>
              <w:t>Activity</w:t>
            </w:r>
            <w:r w:rsidR="00D710F5" w:rsidRPr="0075417F">
              <w:t xml:space="preserve"> seeks to enhance exports through establishment of </w:t>
            </w:r>
            <w:r w:rsidR="00D710F5" w:rsidRPr="007232FE">
              <w:t>linkages</w:t>
            </w:r>
            <w:r w:rsidR="00D710F5" w:rsidRPr="0075417F">
              <w:t xml:space="preserve"> between the local exporters and international buyers.  An export intelligence platform would be rolled out which would be used for: match making of domestic exports and international buyers, and provision of information on various aspects of export markets. </w:t>
            </w:r>
          </w:p>
          <w:p w14:paraId="3AEFF7C2" w14:textId="77777777" w:rsidR="00D710F5" w:rsidRPr="00FD2190" w:rsidRDefault="00D710F5" w:rsidP="0095284D">
            <w:pPr>
              <w:pStyle w:val="TableEntry"/>
              <w:rPr>
                <w:rFonts w:eastAsia="Calibri"/>
              </w:rPr>
            </w:pPr>
          </w:p>
        </w:tc>
        <w:tc>
          <w:tcPr>
            <w:tcW w:w="1493" w:type="pct"/>
            <w:shd w:val="clear" w:color="auto" w:fill="auto"/>
          </w:tcPr>
          <w:p w14:paraId="2300A97E" w14:textId="77777777" w:rsidR="00D710F5" w:rsidRPr="00141E01" w:rsidRDefault="00D710F5" w:rsidP="0095284D">
            <w:pPr>
              <w:pStyle w:val="TableEntry"/>
              <w:suppressAutoHyphens/>
              <w:rPr>
                <w:szCs w:val="18"/>
              </w:rPr>
            </w:pPr>
            <w:r>
              <w:rPr>
                <w:szCs w:val="18"/>
              </w:rPr>
              <w:t xml:space="preserve">Representative of business associations to be part of process which designs the service.  </w:t>
            </w:r>
          </w:p>
        </w:tc>
        <w:tc>
          <w:tcPr>
            <w:tcW w:w="1493" w:type="pct"/>
            <w:shd w:val="clear" w:color="auto" w:fill="auto"/>
          </w:tcPr>
          <w:p w14:paraId="6B72FC58" w14:textId="77777777" w:rsidR="00D710F5" w:rsidRPr="00141E01" w:rsidRDefault="00D710F5" w:rsidP="0095284D">
            <w:pPr>
              <w:pStyle w:val="TableEntry"/>
              <w:suppressAutoHyphens/>
              <w:rPr>
                <w:szCs w:val="18"/>
              </w:rPr>
            </w:pPr>
            <w:r>
              <w:rPr>
                <w:szCs w:val="18"/>
              </w:rPr>
              <w:t xml:space="preserve">Report on the progress, which is to be placed on the website and presented during consultation sessions. </w:t>
            </w:r>
          </w:p>
        </w:tc>
      </w:tr>
    </w:tbl>
    <w:p w14:paraId="22CA561A" w14:textId="77777777" w:rsidR="00D710F5" w:rsidRPr="00114BA7" w:rsidRDefault="00D710F5" w:rsidP="00D710F5"/>
    <w:p w14:paraId="2CC9E160" w14:textId="77777777" w:rsidR="00852B81" w:rsidRPr="00091394" w:rsidRDefault="00852B81" w:rsidP="00091394">
      <w:pPr>
        <w:pStyle w:val="BodyText"/>
        <w:rPr>
          <w:lang w:val="en-GB"/>
        </w:rPr>
      </w:pPr>
    </w:p>
    <w:sectPr w:rsidR="00852B81" w:rsidRPr="00091394" w:rsidSect="00AB0A86">
      <w:footerReference w:type="default" r:id="rId1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8321A" w14:textId="77777777" w:rsidR="0028348D" w:rsidRDefault="0028348D">
      <w:pPr>
        <w:spacing w:after="0"/>
      </w:pPr>
      <w:r>
        <w:separator/>
      </w:r>
    </w:p>
  </w:endnote>
  <w:endnote w:type="continuationSeparator" w:id="0">
    <w:p w14:paraId="3F10B810" w14:textId="77777777" w:rsidR="0028348D" w:rsidRDefault="0028348D">
      <w:pPr>
        <w:spacing w:after="0"/>
      </w:pPr>
      <w:r>
        <w:continuationSeparator/>
      </w:r>
    </w:p>
  </w:endnote>
  <w:endnote w:type="continuationNotice" w:id="1">
    <w:p w14:paraId="53AC79C0" w14:textId="77777777" w:rsidR="0028348D" w:rsidRDefault="002834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u Mincho">
    <w:altName w:val="Times New Roman"/>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20CEC" w14:textId="77777777" w:rsidR="0068769B" w:rsidRDefault="0068769B" w:rsidP="00AB0A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86790D" w14:textId="77777777" w:rsidR="0068769B" w:rsidRDefault="0068769B" w:rsidP="003232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084FF" w14:textId="77777777" w:rsidR="0068769B" w:rsidRPr="00FD28AF" w:rsidRDefault="0068769B" w:rsidP="00323241">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E6B5F" w14:textId="77777777" w:rsidR="005F7CAA" w:rsidRDefault="005F7C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6D772" w14:textId="77777777" w:rsidR="0068769B" w:rsidRDefault="0068769B" w:rsidP="00323241">
    <w:pPr>
      <w:pStyle w:val="Footer"/>
      <w:ind w:right="360"/>
      <w:rPr>
        <w:sz w:val="16"/>
        <w:szCs w:val="16"/>
      </w:rPr>
    </w:pPr>
  </w:p>
  <w:p w14:paraId="0713EB29" w14:textId="77777777" w:rsidR="0068769B" w:rsidRPr="00FD28AF" w:rsidRDefault="0068769B" w:rsidP="00323241">
    <w:pPr>
      <w:pStyle w:val="Footer"/>
      <w:ind w:right="360"/>
      <w:rPr>
        <w:sz w:val="16"/>
        <w:szCs w:val="16"/>
      </w:rPr>
    </w:pPr>
    <w:r>
      <w:rPr>
        <w:sz w:val="16"/>
        <w:szCs w:val="16"/>
      </w:rPr>
      <w:tab/>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AF9D8" w14:textId="77777777" w:rsidR="0068769B" w:rsidRDefault="0068769B" w:rsidP="003842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3FDE">
      <w:rPr>
        <w:rStyle w:val="PageNumber"/>
        <w:noProof/>
      </w:rPr>
      <w:t>23</w:t>
    </w:r>
    <w:r>
      <w:rPr>
        <w:rStyle w:val="PageNumber"/>
      </w:rPr>
      <w:fldChar w:fldCharType="end"/>
    </w:r>
  </w:p>
  <w:p w14:paraId="16518CF0" w14:textId="64F9E7D7" w:rsidR="0068769B" w:rsidRDefault="0068769B" w:rsidP="00323241">
    <w:pPr>
      <w:pStyle w:val="Footer"/>
      <w:ind w:right="360"/>
      <w:rPr>
        <w:sz w:val="16"/>
        <w:szCs w:val="16"/>
      </w:rPr>
    </w:pPr>
    <w:r>
      <w:rPr>
        <w:sz w:val="16"/>
        <w:szCs w:val="16"/>
      </w:rPr>
      <w:tab/>
    </w:r>
    <w:r>
      <w:rPr>
        <w:sz w:val="16"/>
        <w:szCs w:val="16"/>
      </w:rPr>
      <w:tab/>
    </w:r>
  </w:p>
  <w:p w14:paraId="519890DA" w14:textId="77777777" w:rsidR="0068769B" w:rsidRPr="00FD28AF" w:rsidRDefault="0068769B" w:rsidP="00323241">
    <w:pPr>
      <w:pStyle w:val="Footer"/>
      <w:ind w:right="360"/>
      <w:rPr>
        <w:sz w:val="16"/>
        <w:szCs w:val="16"/>
      </w:rPr>
    </w:pP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03909" w14:textId="77777777" w:rsidR="0028348D" w:rsidRDefault="0028348D">
      <w:pPr>
        <w:spacing w:after="0"/>
      </w:pPr>
      <w:r>
        <w:separator/>
      </w:r>
    </w:p>
  </w:footnote>
  <w:footnote w:type="continuationSeparator" w:id="0">
    <w:p w14:paraId="3A21F1B8" w14:textId="77777777" w:rsidR="0028348D" w:rsidRDefault="0028348D">
      <w:pPr>
        <w:spacing w:after="0"/>
      </w:pPr>
      <w:r>
        <w:continuationSeparator/>
      </w:r>
    </w:p>
  </w:footnote>
  <w:footnote w:type="continuationNotice" w:id="1">
    <w:p w14:paraId="7D1AED1A" w14:textId="77777777" w:rsidR="0028348D" w:rsidRDefault="0028348D">
      <w:pPr>
        <w:spacing w:after="0"/>
      </w:pPr>
    </w:p>
  </w:footnote>
  <w:footnote w:id="2">
    <w:p w14:paraId="0A5FF45A" w14:textId="77777777" w:rsidR="0068769B" w:rsidRDefault="0068769B" w:rsidP="00D710F5">
      <w:pPr>
        <w:pStyle w:val="FootnoteText"/>
      </w:pPr>
      <w:r>
        <w:rPr>
          <w:rStyle w:val="FootnoteReference"/>
        </w:rPr>
        <w:footnoteRef/>
      </w:r>
      <w:r>
        <w:t xml:space="preserve"> Ministry of Commerce and Textiles.  (2015).  Strategic Trade Policy Framework.  Downloadable at:  </w:t>
      </w:r>
      <w:r w:rsidRPr="000C54A4">
        <w:t>http://www.commerce.gov.pk/strategic-trade-policy-framework/</w:t>
      </w:r>
    </w:p>
  </w:footnote>
  <w:footnote w:id="3">
    <w:p w14:paraId="1E2DD932" w14:textId="77777777" w:rsidR="0068769B" w:rsidRDefault="0068769B" w:rsidP="00D710F5">
      <w:pPr>
        <w:pStyle w:val="FootnoteText"/>
      </w:pPr>
      <w:r>
        <w:rPr>
          <w:rStyle w:val="FootnoteReference"/>
        </w:rPr>
        <w:footnoteRef/>
      </w:r>
      <w:r>
        <w:t xml:space="preserve"> As per ESS 10, the term vulnerable in this context refers to those groups who are likely to be adversely affected by project impacts.  See footnote 2, page 6 of the Guidance Note on ESS 10.</w:t>
      </w:r>
    </w:p>
  </w:footnote>
  <w:footnote w:id="4">
    <w:p w14:paraId="5FF204FD" w14:textId="77777777" w:rsidR="0068769B" w:rsidRDefault="0068769B" w:rsidP="00D710F5">
      <w:pPr>
        <w:pStyle w:val="FootnoteText"/>
      </w:pPr>
      <w:r>
        <w:rPr>
          <w:rStyle w:val="FootnoteReference"/>
        </w:rPr>
        <w:footnoteRef/>
      </w:r>
      <w:r>
        <w:t xml:space="preserve"> See paragraph 5.1 of the Guidance Note referred to in footnote 3.</w:t>
      </w:r>
    </w:p>
  </w:footnote>
  <w:footnote w:id="5">
    <w:p w14:paraId="62B65618" w14:textId="77777777" w:rsidR="0068769B" w:rsidRDefault="0068769B" w:rsidP="00D710F5">
      <w:pPr>
        <w:pStyle w:val="FootnoteText"/>
      </w:pPr>
      <w:r>
        <w:rPr>
          <w:rStyle w:val="FootnoteReference"/>
        </w:rPr>
        <w:footnoteRef/>
      </w:r>
      <w:r>
        <w:t xml:space="preserve"> See paragraph 5.2 of the Guidance Note referred to in footnote 3.</w:t>
      </w:r>
    </w:p>
    <w:p w14:paraId="0811BE0C" w14:textId="77777777" w:rsidR="0068769B" w:rsidRDefault="0068769B" w:rsidP="00D710F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9680B" w14:textId="77777777" w:rsidR="005F7CAA" w:rsidRDefault="005F7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4F2C" w14:textId="77777777" w:rsidR="005F7CAA" w:rsidRDefault="005F7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205EE" w14:textId="77777777" w:rsidR="005F7CAA" w:rsidRDefault="005F7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766510"/>
    <w:multiLevelType w:val="hybridMultilevel"/>
    <w:tmpl w:val="DECA8F3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B57E0"/>
    <w:multiLevelType w:val="multilevel"/>
    <w:tmpl w:val="0E88CE18"/>
    <w:lvl w:ilvl="0">
      <w:start w:val="1"/>
      <w:numFmt w:val="decimal"/>
      <w:pStyle w:val="Heading1"/>
      <w:lvlText w:val="%1."/>
      <w:lvlJc w:val="left"/>
      <w:pPr>
        <w:tabs>
          <w:tab w:val="num" w:pos="720"/>
        </w:tabs>
        <w:ind w:left="0" w:firstLine="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5B76545"/>
    <w:multiLevelType w:val="hybridMultilevel"/>
    <w:tmpl w:val="A97C7B8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4D0C058A"/>
    <w:multiLevelType w:val="singleLevel"/>
    <w:tmpl w:val="BAE8D90E"/>
    <w:name w:val="NumPar"/>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6" w15:restartNumberingAfterBreak="0">
    <w:nsid w:val="5FC37A66"/>
    <w:multiLevelType w:val="hybridMultilevel"/>
    <w:tmpl w:val="CB90FF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6"/>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F3"/>
    <w:rsid w:val="0001097D"/>
    <w:rsid w:val="0001239C"/>
    <w:rsid w:val="00012554"/>
    <w:rsid w:val="00013D0B"/>
    <w:rsid w:val="000140FD"/>
    <w:rsid w:val="000161BE"/>
    <w:rsid w:val="0001727F"/>
    <w:rsid w:val="00017E9E"/>
    <w:rsid w:val="00024894"/>
    <w:rsid w:val="000258E6"/>
    <w:rsid w:val="00030BF8"/>
    <w:rsid w:val="000361BF"/>
    <w:rsid w:val="00037151"/>
    <w:rsid w:val="00040066"/>
    <w:rsid w:val="0004421A"/>
    <w:rsid w:val="00045B59"/>
    <w:rsid w:val="0005052B"/>
    <w:rsid w:val="00050BAF"/>
    <w:rsid w:val="00051364"/>
    <w:rsid w:val="00053F42"/>
    <w:rsid w:val="00055EA6"/>
    <w:rsid w:val="00062460"/>
    <w:rsid w:val="00064AEA"/>
    <w:rsid w:val="0006553A"/>
    <w:rsid w:val="00065A5C"/>
    <w:rsid w:val="00072D85"/>
    <w:rsid w:val="000737DB"/>
    <w:rsid w:val="0007514D"/>
    <w:rsid w:val="00077070"/>
    <w:rsid w:val="000807EA"/>
    <w:rsid w:val="00080B30"/>
    <w:rsid w:val="000871A4"/>
    <w:rsid w:val="00091394"/>
    <w:rsid w:val="00094485"/>
    <w:rsid w:val="000A3386"/>
    <w:rsid w:val="000A38BD"/>
    <w:rsid w:val="000B2E7B"/>
    <w:rsid w:val="000C0A6A"/>
    <w:rsid w:val="000C18AF"/>
    <w:rsid w:val="000D0378"/>
    <w:rsid w:val="000D3D0F"/>
    <w:rsid w:val="000D3E84"/>
    <w:rsid w:val="000E2AAA"/>
    <w:rsid w:val="000E33D4"/>
    <w:rsid w:val="000E4C12"/>
    <w:rsid w:val="000E64EF"/>
    <w:rsid w:val="000F0491"/>
    <w:rsid w:val="000F37EF"/>
    <w:rsid w:val="000F407A"/>
    <w:rsid w:val="000F51F9"/>
    <w:rsid w:val="000F7128"/>
    <w:rsid w:val="00102C39"/>
    <w:rsid w:val="00113C1C"/>
    <w:rsid w:val="00124AA9"/>
    <w:rsid w:val="00126B93"/>
    <w:rsid w:val="0013499B"/>
    <w:rsid w:val="00134E1D"/>
    <w:rsid w:val="00147B77"/>
    <w:rsid w:val="00160035"/>
    <w:rsid w:val="00160E7E"/>
    <w:rsid w:val="001620F1"/>
    <w:rsid w:val="00163AC2"/>
    <w:rsid w:val="00167667"/>
    <w:rsid w:val="00167EF7"/>
    <w:rsid w:val="00173FE4"/>
    <w:rsid w:val="0017501B"/>
    <w:rsid w:val="001820DE"/>
    <w:rsid w:val="001879E1"/>
    <w:rsid w:val="001A031C"/>
    <w:rsid w:val="001A53B2"/>
    <w:rsid w:val="001B1BBA"/>
    <w:rsid w:val="001B2700"/>
    <w:rsid w:val="001C0DA7"/>
    <w:rsid w:val="001C549B"/>
    <w:rsid w:val="001D097D"/>
    <w:rsid w:val="001D2F4C"/>
    <w:rsid w:val="001D6CA7"/>
    <w:rsid w:val="001E6187"/>
    <w:rsid w:val="001E6969"/>
    <w:rsid w:val="001F57C7"/>
    <w:rsid w:val="001F6FF7"/>
    <w:rsid w:val="0020298E"/>
    <w:rsid w:val="00215DD8"/>
    <w:rsid w:val="0021765A"/>
    <w:rsid w:val="0022081D"/>
    <w:rsid w:val="00223738"/>
    <w:rsid w:val="002334B5"/>
    <w:rsid w:val="00256C91"/>
    <w:rsid w:val="00260DA2"/>
    <w:rsid w:val="0026205F"/>
    <w:rsid w:val="00262648"/>
    <w:rsid w:val="00264A7D"/>
    <w:rsid w:val="00265D13"/>
    <w:rsid w:val="00267000"/>
    <w:rsid w:val="00267C59"/>
    <w:rsid w:val="00271FED"/>
    <w:rsid w:val="0027420C"/>
    <w:rsid w:val="00275A44"/>
    <w:rsid w:val="0028214C"/>
    <w:rsid w:val="0028348D"/>
    <w:rsid w:val="00284AAA"/>
    <w:rsid w:val="00284AEF"/>
    <w:rsid w:val="002855E5"/>
    <w:rsid w:val="00290024"/>
    <w:rsid w:val="00290EB8"/>
    <w:rsid w:val="00293DC6"/>
    <w:rsid w:val="002A0D57"/>
    <w:rsid w:val="002A3CBE"/>
    <w:rsid w:val="002A3FB4"/>
    <w:rsid w:val="002A69EB"/>
    <w:rsid w:val="002A756F"/>
    <w:rsid w:val="002B00CE"/>
    <w:rsid w:val="002B48EF"/>
    <w:rsid w:val="002B739A"/>
    <w:rsid w:val="002C2E91"/>
    <w:rsid w:val="002C4131"/>
    <w:rsid w:val="002C5DA5"/>
    <w:rsid w:val="002D0D4F"/>
    <w:rsid w:val="002D7060"/>
    <w:rsid w:val="002E2209"/>
    <w:rsid w:val="002F1A37"/>
    <w:rsid w:val="00305DA0"/>
    <w:rsid w:val="00306E77"/>
    <w:rsid w:val="00315995"/>
    <w:rsid w:val="00323241"/>
    <w:rsid w:val="00325291"/>
    <w:rsid w:val="0033084E"/>
    <w:rsid w:val="0033425D"/>
    <w:rsid w:val="00337BBF"/>
    <w:rsid w:val="00337FB6"/>
    <w:rsid w:val="00347A03"/>
    <w:rsid w:val="0035047F"/>
    <w:rsid w:val="00354BCB"/>
    <w:rsid w:val="00354CA6"/>
    <w:rsid w:val="00361A82"/>
    <w:rsid w:val="0037306A"/>
    <w:rsid w:val="00373C66"/>
    <w:rsid w:val="00376BD0"/>
    <w:rsid w:val="00380340"/>
    <w:rsid w:val="0038068D"/>
    <w:rsid w:val="00384219"/>
    <w:rsid w:val="00384506"/>
    <w:rsid w:val="003849C6"/>
    <w:rsid w:val="003855CD"/>
    <w:rsid w:val="00387D61"/>
    <w:rsid w:val="003915A5"/>
    <w:rsid w:val="003A00F4"/>
    <w:rsid w:val="003A2D9A"/>
    <w:rsid w:val="003A3CF3"/>
    <w:rsid w:val="003A5230"/>
    <w:rsid w:val="003A5912"/>
    <w:rsid w:val="003A650B"/>
    <w:rsid w:val="003B4EA9"/>
    <w:rsid w:val="003B55D2"/>
    <w:rsid w:val="003B5C7A"/>
    <w:rsid w:val="003B604D"/>
    <w:rsid w:val="003B656F"/>
    <w:rsid w:val="003B662F"/>
    <w:rsid w:val="003B7206"/>
    <w:rsid w:val="003C2360"/>
    <w:rsid w:val="003C5384"/>
    <w:rsid w:val="003D6EA0"/>
    <w:rsid w:val="003E21FF"/>
    <w:rsid w:val="003E3DFE"/>
    <w:rsid w:val="003E60F5"/>
    <w:rsid w:val="003E6DDF"/>
    <w:rsid w:val="003F3C7B"/>
    <w:rsid w:val="003F4784"/>
    <w:rsid w:val="00402524"/>
    <w:rsid w:val="0040335F"/>
    <w:rsid w:val="0040581A"/>
    <w:rsid w:val="00405E2F"/>
    <w:rsid w:val="00413352"/>
    <w:rsid w:val="00414087"/>
    <w:rsid w:val="004165ED"/>
    <w:rsid w:val="0042062A"/>
    <w:rsid w:val="00421913"/>
    <w:rsid w:val="00426C89"/>
    <w:rsid w:val="00427F0F"/>
    <w:rsid w:val="00431CDD"/>
    <w:rsid w:val="00444464"/>
    <w:rsid w:val="00452D86"/>
    <w:rsid w:val="00453715"/>
    <w:rsid w:val="00464F22"/>
    <w:rsid w:val="0046603B"/>
    <w:rsid w:val="00466D94"/>
    <w:rsid w:val="0047244B"/>
    <w:rsid w:val="004746A8"/>
    <w:rsid w:val="00474E6B"/>
    <w:rsid w:val="0048726A"/>
    <w:rsid w:val="00490F72"/>
    <w:rsid w:val="004918DA"/>
    <w:rsid w:val="00495ACC"/>
    <w:rsid w:val="004967CE"/>
    <w:rsid w:val="004A0EFF"/>
    <w:rsid w:val="004A1186"/>
    <w:rsid w:val="004A27AF"/>
    <w:rsid w:val="004A3B81"/>
    <w:rsid w:val="004A4F37"/>
    <w:rsid w:val="004A665B"/>
    <w:rsid w:val="004A7C96"/>
    <w:rsid w:val="004B015D"/>
    <w:rsid w:val="004B3AB2"/>
    <w:rsid w:val="004B50E9"/>
    <w:rsid w:val="004B5C38"/>
    <w:rsid w:val="004C19E9"/>
    <w:rsid w:val="004C33CD"/>
    <w:rsid w:val="004C3B15"/>
    <w:rsid w:val="004C6108"/>
    <w:rsid w:val="004C7F4A"/>
    <w:rsid w:val="004D32A6"/>
    <w:rsid w:val="004D35E4"/>
    <w:rsid w:val="004D392D"/>
    <w:rsid w:val="004D4085"/>
    <w:rsid w:val="004D52BB"/>
    <w:rsid w:val="004E05AC"/>
    <w:rsid w:val="004E27EF"/>
    <w:rsid w:val="004E322C"/>
    <w:rsid w:val="004E6D6C"/>
    <w:rsid w:val="004F008D"/>
    <w:rsid w:val="004F27AB"/>
    <w:rsid w:val="005005C6"/>
    <w:rsid w:val="005018DB"/>
    <w:rsid w:val="005034D9"/>
    <w:rsid w:val="0050767F"/>
    <w:rsid w:val="00507E55"/>
    <w:rsid w:val="00511D6B"/>
    <w:rsid w:val="00512977"/>
    <w:rsid w:val="005140EC"/>
    <w:rsid w:val="005155A3"/>
    <w:rsid w:val="00516476"/>
    <w:rsid w:val="0051797C"/>
    <w:rsid w:val="00517E00"/>
    <w:rsid w:val="00522BC2"/>
    <w:rsid w:val="00523A29"/>
    <w:rsid w:val="00531DDD"/>
    <w:rsid w:val="00533058"/>
    <w:rsid w:val="00536F6E"/>
    <w:rsid w:val="00544572"/>
    <w:rsid w:val="005463AD"/>
    <w:rsid w:val="00560809"/>
    <w:rsid w:val="00561F59"/>
    <w:rsid w:val="00567F22"/>
    <w:rsid w:val="00570009"/>
    <w:rsid w:val="00576FEF"/>
    <w:rsid w:val="005811C7"/>
    <w:rsid w:val="00584E67"/>
    <w:rsid w:val="00587C3C"/>
    <w:rsid w:val="00590488"/>
    <w:rsid w:val="00590EFC"/>
    <w:rsid w:val="005944C1"/>
    <w:rsid w:val="005A430B"/>
    <w:rsid w:val="005A58DD"/>
    <w:rsid w:val="005B15EB"/>
    <w:rsid w:val="005B5880"/>
    <w:rsid w:val="005B6FB2"/>
    <w:rsid w:val="005C0306"/>
    <w:rsid w:val="005C0327"/>
    <w:rsid w:val="005C094B"/>
    <w:rsid w:val="005C2C23"/>
    <w:rsid w:val="005C794E"/>
    <w:rsid w:val="005C7A1B"/>
    <w:rsid w:val="005D11D3"/>
    <w:rsid w:val="005D3331"/>
    <w:rsid w:val="005D3884"/>
    <w:rsid w:val="005D4A8C"/>
    <w:rsid w:val="005E2991"/>
    <w:rsid w:val="005E2B03"/>
    <w:rsid w:val="005F0757"/>
    <w:rsid w:val="005F0BCA"/>
    <w:rsid w:val="005F4C75"/>
    <w:rsid w:val="005F7CAA"/>
    <w:rsid w:val="00601208"/>
    <w:rsid w:val="006028D1"/>
    <w:rsid w:val="006031D7"/>
    <w:rsid w:val="00606F4D"/>
    <w:rsid w:val="00607087"/>
    <w:rsid w:val="006078ED"/>
    <w:rsid w:val="00612353"/>
    <w:rsid w:val="00612988"/>
    <w:rsid w:val="00613A2B"/>
    <w:rsid w:val="00623DB6"/>
    <w:rsid w:val="00624C84"/>
    <w:rsid w:val="0062733A"/>
    <w:rsid w:val="006274DD"/>
    <w:rsid w:val="006301BC"/>
    <w:rsid w:val="006302A2"/>
    <w:rsid w:val="00635DE2"/>
    <w:rsid w:val="006362AF"/>
    <w:rsid w:val="00636961"/>
    <w:rsid w:val="00640FFB"/>
    <w:rsid w:val="00641E8D"/>
    <w:rsid w:val="00642C3C"/>
    <w:rsid w:val="006445FD"/>
    <w:rsid w:val="006524D4"/>
    <w:rsid w:val="00655017"/>
    <w:rsid w:val="006550AE"/>
    <w:rsid w:val="00657662"/>
    <w:rsid w:val="00662C18"/>
    <w:rsid w:val="00673974"/>
    <w:rsid w:val="00676CA0"/>
    <w:rsid w:val="00683A35"/>
    <w:rsid w:val="00684C18"/>
    <w:rsid w:val="0068769B"/>
    <w:rsid w:val="00690964"/>
    <w:rsid w:val="00692D40"/>
    <w:rsid w:val="00696765"/>
    <w:rsid w:val="006A0358"/>
    <w:rsid w:val="006A0699"/>
    <w:rsid w:val="006A75F5"/>
    <w:rsid w:val="006B0BFB"/>
    <w:rsid w:val="006B260F"/>
    <w:rsid w:val="006B6ED2"/>
    <w:rsid w:val="006B709E"/>
    <w:rsid w:val="006C2D2D"/>
    <w:rsid w:val="006C31D7"/>
    <w:rsid w:val="006C43D9"/>
    <w:rsid w:val="006C5283"/>
    <w:rsid w:val="006D2B70"/>
    <w:rsid w:val="006D3C8D"/>
    <w:rsid w:val="006D5FA8"/>
    <w:rsid w:val="006E016C"/>
    <w:rsid w:val="006E13A1"/>
    <w:rsid w:val="006E23FD"/>
    <w:rsid w:val="006E4681"/>
    <w:rsid w:val="006F57E4"/>
    <w:rsid w:val="006F5E75"/>
    <w:rsid w:val="006F6591"/>
    <w:rsid w:val="00700F00"/>
    <w:rsid w:val="0070332E"/>
    <w:rsid w:val="00706F4F"/>
    <w:rsid w:val="0071029F"/>
    <w:rsid w:val="00721199"/>
    <w:rsid w:val="00721FFB"/>
    <w:rsid w:val="007224B9"/>
    <w:rsid w:val="007228FE"/>
    <w:rsid w:val="00726860"/>
    <w:rsid w:val="00726D22"/>
    <w:rsid w:val="00736A08"/>
    <w:rsid w:val="0074167D"/>
    <w:rsid w:val="00742B49"/>
    <w:rsid w:val="007442EB"/>
    <w:rsid w:val="00744EAA"/>
    <w:rsid w:val="0074763D"/>
    <w:rsid w:val="00750228"/>
    <w:rsid w:val="00750C59"/>
    <w:rsid w:val="007550EE"/>
    <w:rsid w:val="00756AE4"/>
    <w:rsid w:val="00756E1E"/>
    <w:rsid w:val="007578B8"/>
    <w:rsid w:val="00761B57"/>
    <w:rsid w:val="00763736"/>
    <w:rsid w:val="00765A6D"/>
    <w:rsid w:val="00766592"/>
    <w:rsid w:val="007762AB"/>
    <w:rsid w:val="0077713B"/>
    <w:rsid w:val="0078219D"/>
    <w:rsid w:val="007836B1"/>
    <w:rsid w:val="0078485D"/>
    <w:rsid w:val="00786670"/>
    <w:rsid w:val="007906E8"/>
    <w:rsid w:val="00790A1E"/>
    <w:rsid w:val="00792173"/>
    <w:rsid w:val="00792859"/>
    <w:rsid w:val="007933ED"/>
    <w:rsid w:val="00796D06"/>
    <w:rsid w:val="0079758A"/>
    <w:rsid w:val="007A3F88"/>
    <w:rsid w:val="007B21AD"/>
    <w:rsid w:val="007B3C4E"/>
    <w:rsid w:val="007B5436"/>
    <w:rsid w:val="007B576A"/>
    <w:rsid w:val="007B7CAA"/>
    <w:rsid w:val="007C1341"/>
    <w:rsid w:val="007C5424"/>
    <w:rsid w:val="007C7250"/>
    <w:rsid w:val="007D7A9B"/>
    <w:rsid w:val="007E1CB0"/>
    <w:rsid w:val="008003C7"/>
    <w:rsid w:val="008007E3"/>
    <w:rsid w:val="0080658C"/>
    <w:rsid w:val="008073F6"/>
    <w:rsid w:val="00811AD3"/>
    <w:rsid w:val="00811D3A"/>
    <w:rsid w:val="008145E7"/>
    <w:rsid w:val="00816A13"/>
    <w:rsid w:val="00817BF7"/>
    <w:rsid w:val="0082565C"/>
    <w:rsid w:val="00826551"/>
    <w:rsid w:val="00835714"/>
    <w:rsid w:val="00835F79"/>
    <w:rsid w:val="00836630"/>
    <w:rsid w:val="008369E6"/>
    <w:rsid w:val="00837AB8"/>
    <w:rsid w:val="00841A8A"/>
    <w:rsid w:val="00841DCE"/>
    <w:rsid w:val="00843597"/>
    <w:rsid w:val="00843CBB"/>
    <w:rsid w:val="00843EA7"/>
    <w:rsid w:val="00847075"/>
    <w:rsid w:val="00851FA5"/>
    <w:rsid w:val="00852B81"/>
    <w:rsid w:val="0085426F"/>
    <w:rsid w:val="0085706B"/>
    <w:rsid w:val="008617FC"/>
    <w:rsid w:val="00862259"/>
    <w:rsid w:val="00863FCE"/>
    <w:rsid w:val="008649DF"/>
    <w:rsid w:val="0086725F"/>
    <w:rsid w:val="00872451"/>
    <w:rsid w:val="00872B34"/>
    <w:rsid w:val="008731C4"/>
    <w:rsid w:val="0088570D"/>
    <w:rsid w:val="008A25C4"/>
    <w:rsid w:val="008A27C6"/>
    <w:rsid w:val="008A2CF6"/>
    <w:rsid w:val="008A5696"/>
    <w:rsid w:val="008A6F98"/>
    <w:rsid w:val="008A751A"/>
    <w:rsid w:val="008B027F"/>
    <w:rsid w:val="008B64EC"/>
    <w:rsid w:val="008C066A"/>
    <w:rsid w:val="008C0BA0"/>
    <w:rsid w:val="008C36A3"/>
    <w:rsid w:val="008C474C"/>
    <w:rsid w:val="008C6263"/>
    <w:rsid w:val="008C6DA1"/>
    <w:rsid w:val="008C73A9"/>
    <w:rsid w:val="008D09C7"/>
    <w:rsid w:val="008D3F7E"/>
    <w:rsid w:val="008D5C2F"/>
    <w:rsid w:val="008D6282"/>
    <w:rsid w:val="008E2D2A"/>
    <w:rsid w:val="008E40C1"/>
    <w:rsid w:val="008E4A41"/>
    <w:rsid w:val="008F0354"/>
    <w:rsid w:val="008F3F38"/>
    <w:rsid w:val="008F4B65"/>
    <w:rsid w:val="008F61EC"/>
    <w:rsid w:val="00901E8E"/>
    <w:rsid w:val="00902C11"/>
    <w:rsid w:val="00910AA6"/>
    <w:rsid w:val="00911D01"/>
    <w:rsid w:val="00912AF4"/>
    <w:rsid w:val="009152E6"/>
    <w:rsid w:val="00920E71"/>
    <w:rsid w:val="0092166F"/>
    <w:rsid w:val="00921AF1"/>
    <w:rsid w:val="00921B7A"/>
    <w:rsid w:val="00921E2E"/>
    <w:rsid w:val="009226CE"/>
    <w:rsid w:val="0093276A"/>
    <w:rsid w:val="009348CD"/>
    <w:rsid w:val="0093665F"/>
    <w:rsid w:val="00936EC4"/>
    <w:rsid w:val="009413FA"/>
    <w:rsid w:val="00942111"/>
    <w:rsid w:val="00942AF9"/>
    <w:rsid w:val="00942BBC"/>
    <w:rsid w:val="0094373D"/>
    <w:rsid w:val="009442DF"/>
    <w:rsid w:val="0095284D"/>
    <w:rsid w:val="00961087"/>
    <w:rsid w:val="009644E0"/>
    <w:rsid w:val="0096506A"/>
    <w:rsid w:val="009651E2"/>
    <w:rsid w:val="0096674B"/>
    <w:rsid w:val="00971BC8"/>
    <w:rsid w:val="00972E69"/>
    <w:rsid w:val="00973684"/>
    <w:rsid w:val="009808E5"/>
    <w:rsid w:val="009816B9"/>
    <w:rsid w:val="00982D0D"/>
    <w:rsid w:val="00983B27"/>
    <w:rsid w:val="009866FD"/>
    <w:rsid w:val="00990DCC"/>
    <w:rsid w:val="00992D41"/>
    <w:rsid w:val="009932DF"/>
    <w:rsid w:val="009A3755"/>
    <w:rsid w:val="009A5706"/>
    <w:rsid w:val="009B3621"/>
    <w:rsid w:val="009B44C2"/>
    <w:rsid w:val="009C337F"/>
    <w:rsid w:val="009C490A"/>
    <w:rsid w:val="009C6D69"/>
    <w:rsid w:val="009D2C10"/>
    <w:rsid w:val="009D79F3"/>
    <w:rsid w:val="009E0D6B"/>
    <w:rsid w:val="009E57E2"/>
    <w:rsid w:val="009E5A7E"/>
    <w:rsid w:val="009E5E2D"/>
    <w:rsid w:val="009E5F33"/>
    <w:rsid w:val="009E6E63"/>
    <w:rsid w:val="009F23EE"/>
    <w:rsid w:val="009F28D4"/>
    <w:rsid w:val="009F5B66"/>
    <w:rsid w:val="00A028B3"/>
    <w:rsid w:val="00A042BF"/>
    <w:rsid w:val="00A07142"/>
    <w:rsid w:val="00A126CA"/>
    <w:rsid w:val="00A164E4"/>
    <w:rsid w:val="00A16C5F"/>
    <w:rsid w:val="00A20696"/>
    <w:rsid w:val="00A22BE0"/>
    <w:rsid w:val="00A2326F"/>
    <w:rsid w:val="00A257BB"/>
    <w:rsid w:val="00A34D12"/>
    <w:rsid w:val="00A355BF"/>
    <w:rsid w:val="00A35766"/>
    <w:rsid w:val="00A40FB0"/>
    <w:rsid w:val="00A4600A"/>
    <w:rsid w:val="00A47039"/>
    <w:rsid w:val="00A52190"/>
    <w:rsid w:val="00A521CE"/>
    <w:rsid w:val="00A53887"/>
    <w:rsid w:val="00A61621"/>
    <w:rsid w:val="00A61F03"/>
    <w:rsid w:val="00A6545B"/>
    <w:rsid w:val="00A717FD"/>
    <w:rsid w:val="00A77912"/>
    <w:rsid w:val="00A87CBB"/>
    <w:rsid w:val="00A95A96"/>
    <w:rsid w:val="00AA6547"/>
    <w:rsid w:val="00AB0A86"/>
    <w:rsid w:val="00AB0E4B"/>
    <w:rsid w:val="00AB3190"/>
    <w:rsid w:val="00AB3972"/>
    <w:rsid w:val="00AB5146"/>
    <w:rsid w:val="00AB5BA7"/>
    <w:rsid w:val="00AB692D"/>
    <w:rsid w:val="00AC0CEF"/>
    <w:rsid w:val="00AC0FF3"/>
    <w:rsid w:val="00AC1532"/>
    <w:rsid w:val="00AC2DE5"/>
    <w:rsid w:val="00AC41C6"/>
    <w:rsid w:val="00AC5289"/>
    <w:rsid w:val="00AC5654"/>
    <w:rsid w:val="00AC6FB1"/>
    <w:rsid w:val="00AC786B"/>
    <w:rsid w:val="00AC78BA"/>
    <w:rsid w:val="00AD14FC"/>
    <w:rsid w:val="00AD2CB2"/>
    <w:rsid w:val="00AE7BBD"/>
    <w:rsid w:val="00B018AF"/>
    <w:rsid w:val="00B03E43"/>
    <w:rsid w:val="00B06A1E"/>
    <w:rsid w:val="00B11B0D"/>
    <w:rsid w:val="00B234B6"/>
    <w:rsid w:val="00B23A1D"/>
    <w:rsid w:val="00B25EE6"/>
    <w:rsid w:val="00B2661E"/>
    <w:rsid w:val="00B3200C"/>
    <w:rsid w:val="00B320E7"/>
    <w:rsid w:val="00B33CAB"/>
    <w:rsid w:val="00B37F66"/>
    <w:rsid w:val="00B42421"/>
    <w:rsid w:val="00B42612"/>
    <w:rsid w:val="00B45AA3"/>
    <w:rsid w:val="00B46B05"/>
    <w:rsid w:val="00B53070"/>
    <w:rsid w:val="00B539C8"/>
    <w:rsid w:val="00B55D90"/>
    <w:rsid w:val="00B63E3F"/>
    <w:rsid w:val="00B74ADA"/>
    <w:rsid w:val="00B7622B"/>
    <w:rsid w:val="00B83DBE"/>
    <w:rsid w:val="00B849F0"/>
    <w:rsid w:val="00B85A22"/>
    <w:rsid w:val="00B90EBE"/>
    <w:rsid w:val="00B9710D"/>
    <w:rsid w:val="00B97867"/>
    <w:rsid w:val="00BA028E"/>
    <w:rsid w:val="00BA3084"/>
    <w:rsid w:val="00BB20BB"/>
    <w:rsid w:val="00BB4F06"/>
    <w:rsid w:val="00BB7B38"/>
    <w:rsid w:val="00BC760F"/>
    <w:rsid w:val="00BC7896"/>
    <w:rsid w:val="00BD7176"/>
    <w:rsid w:val="00BE0775"/>
    <w:rsid w:val="00BE569A"/>
    <w:rsid w:val="00BF556C"/>
    <w:rsid w:val="00BF55CF"/>
    <w:rsid w:val="00BF5A05"/>
    <w:rsid w:val="00C02C02"/>
    <w:rsid w:val="00C05196"/>
    <w:rsid w:val="00C05A12"/>
    <w:rsid w:val="00C05ECD"/>
    <w:rsid w:val="00C0766B"/>
    <w:rsid w:val="00C10A52"/>
    <w:rsid w:val="00C20888"/>
    <w:rsid w:val="00C224E3"/>
    <w:rsid w:val="00C25997"/>
    <w:rsid w:val="00C35D74"/>
    <w:rsid w:val="00C416B8"/>
    <w:rsid w:val="00C4179A"/>
    <w:rsid w:val="00C43CBF"/>
    <w:rsid w:val="00C44A50"/>
    <w:rsid w:val="00C47C76"/>
    <w:rsid w:val="00C52C2B"/>
    <w:rsid w:val="00C54226"/>
    <w:rsid w:val="00C618C1"/>
    <w:rsid w:val="00C62A1C"/>
    <w:rsid w:val="00C71B6A"/>
    <w:rsid w:val="00C72944"/>
    <w:rsid w:val="00C76F4D"/>
    <w:rsid w:val="00C84B85"/>
    <w:rsid w:val="00C857F2"/>
    <w:rsid w:val="00C86DDD"/>
    <w:rsid w:val="00C92F3C"/>
    <w:rsid w:val="00C93FDE"/>
    <w:rsid w:val="00C94D2C"/>
    <w:rsid w:val="00C974FD"/>
    <w:rsid w:val="00C97C39"/>
    <w:rsid w:val="00CA0DC0"/>
    <w:rsid w:val="00CA6F85"/>
    <w:rsid w:val="00CB02D9"/>
    <w:rsid w:val="00CB0ACA"/>
    <w:rsid w:val="00CB0F64"/>
    <w:rsid w:val="00CB21BF"/>
    <w:rsid w:val="00CB38A7"/>
    <w:rsid w:val="00CB48FC"/>
    <w:rsid w:val="00CB62F1"/>
    <w:rsid w:val="00CB7155"/>
    <w:rsid w:val="00CB7382"/>
    <w:rsid w:val="00CC067B"/>
    <w:rsid w:val="00CC2BE4"/>
    <w:rsid w:val="00CC68CF"/>
    <w:rsid w:val="00CD0A9C"/>
    <w:rsid w:val="00CD2273"/>
    <w:rsid w:val="00CD5B78"/>
    <w:rsid w:val="00CD733A"/>
    <w:rsid w:val="00CD798C"/>
    <w:rsid w:val="00CE0026"/>
    <w:rsid w:val="00CE1DB9"/>
    <w:rsid w:val="00CE4CAC"/>
    <w:rsid w:val="00CE570C"/>
    <w:rsid w:val="00CF3451"/>
    <w:rsid w:val="00CF4931"/>
    <w:rsid w:val="00CF574F"/>
    <w:rsid w:val="00D060AF"/>
    <w:rsid w:val="00D12EE2"/>
    <w:rsid w:val="00D13A88"/>
    <w:rsid w:val="00D1425D"/>
    <w:rsid w:val="00D22FB5"/>
    <w:rsid w:val="00D27414"/>
    <w:rsid w:val="00D3224A"/>
    <w:rsid w:val="00D348F5"/>
    <w:rsid w:val="00D3501A"/>
    <w:rsid w:val="00D35A13"/>
    <w:rsid w:val="00D37A3A"/>
    <w:rsid w:val="00D403E3"/>
    <w:rsid w:val="00D41723"/>
    <w:rsid w:val="00D46065"/>
    <w:rsid w:val="00D50D80"/>
    <w:rsid w:val="00D52078"/>
    <w:rsid w:val="00D56F3B"/>
    <w:rsid w:val="00D70911"/>
    <w:rsid w:val="00D70965"/>
    <w:rsid w:val="00D70AC2"/>
    <w:rsid w:val="00D710F5"/>
    <w:rsid w:val="00D71935"/>
    <w:rsid w:val="00D81D6A"/>
    <w:rsid w:val="00D83AF9"/>
    <w:rsid w:val="00D847BD"/>
    <w:rsid w:val="00D91D3E"/>
    <w:rsid w:val="00D95049"/>
    <w:rsid w:val="00DA347B"/>
    <w:rsid w:val="00DA4C57"/>
    <w:rsid w:val="00DB4940"/>
    <w:rsid w:val="00DB5D8F"/>
    <w:rsid w:val="00DC094D"/>
    <w:rsid w:val="00DC2492"/>
    <w:rsid w:val="00DC2CE3"/>
    <w:rsid w:val="00DC7C64"/>
    <w:rsid w:val="00DD2C80"/>
    <w:rsid w:val="00DE2E6A"/>
    <w:rsid w:val="00DE6568"/>
    <w:rsid w:val="00DE65C3"/>
    <w:rsid w:val="00DE6C36"/>
    <w:rsid w:val="00DF1160"/>
    <w:rsid w:val="00DF3843"/>
    <w:rsid w:val="00E01334"/>
    <w:rsid w:val="00E05C36"/>
    <w:rsid w:val="00E060A9"/>
    <w:rsid w:val="00E06890"/>
    <w:rsid w:val="00E06D9C"/>
    <w:rsid w:val="00E071E8"/>
    <w:rsid w:val="00E12A2B"/>
    <w:rsid w:val="00E15A9C"/>
    <w:rsid w:val="00E16C63"/>
    <w:rsid w:val="00E20C94"/>
    <w:rsid w:val="00E22A99"/>
    <w:rsid w:val="00E331ED"/>
    <w:rsid w:val="00E448BB"/>
    <w:rsid w:val="00E53886"/>
    <w:rsid w:val="00E54476"/>
    <w:rsid w:val="00E578A3"/>
    <w:rsid w:val="00E63B6B"/>
    <w:rsid w:val="00E64E8D"/>
    <w:rsid w:val="00E65DB7"/>
    <w:rsid w:val="00E73334"/>
    <w:rsid w:val="00E81AA5"/>
    <w:rsid w:val="00E83792"/>
    <w:rsid w:val="00E867E9"/>
    <w:rsid w:val="00E91132"/>
    <w:rsid w:val="00E92CAD"/>
    <w:rsid w:val="00E94E46"/>
    <w:rsid w:val="00E95A81"/>
    <w:rsid w:val="00E95B14"/>
    <w:rsid w:val="00E95E4A"/>
    <w:rsid w:val="00E965D5"/>
    <w:rsid w:val="00E969F5"/>
    <w:rsid w:val="00E96CDE"/>
    <w:rsid w:val="00EA0201"/>
    <w:rsid w:val="00EA2E5D"/>
    <w:rsid w:val="00EA5EAF"/>
    <w:rsid w:val="00EA67D9"/>
    <w:rsid w:val="00EB2252"/>
    <w:rsid w:val="00EB2607"/>
    <w:rsid w:val="00EB3D2C"/>
    <w:rsid w:val="00EB56CA"/>
    <w:rsid w:val="00EB61E7"/>
    <w:rsid w:val="00EB63A1"/>
    <w:rsid w:val="00ED2789"/>
    <w:rsid w:val="00ED3654"/>
    <w:rsid w:val="00ED53CF"/>
    <w:rsid w:val="00EE0A87"/>
    <w:rsid w:val="00EE14BE"/>
    <w:rsid w:val="00EE1C75"/>
    <w:rsid w:val="00EE43BF"/>
    <w:rsid w:val="00EE7016"/>
    <w:rsid w:val="00EF3074"/>
    <w:rsid w:val="00EF43F9"/>
    <w:rsid w:val="00EF5DEF"/>
    <w:rsid w:val="00F01239"/>
    <w:rsid w:val="00F10A12"/>
    <w:rsid w:val="00F11049"/>
    <w:rsid w:val="00F174C0"/>
    <w:rsid w:val="00F175F8"/>
    <w:rsid w:val="00F17EBE"/>
    <w:rsid w:val="00F17EE3"/>
    <w:rsid w:val="00F21E8B"/>
    <w:rsid w:val="00F3065D"/>
    <w:rsid w:val="00F30A3F"/>
    <w:rsid w:val="00F3134C"/>
    <w:rsid w:val="00F32403"/>
    <w:rsid w:val="00F35958"/>
    <w:rsid w:val="00F37AC7"/>
    <w:rsid w:val="00F409D0"/>
    <w:rsid w:val="00F4100A"/>
    <w:rsid w:val="00F455AA"/>
    <w:rsid w:val="00F465CE"/>
    <w:rsid w:val="00F56E09"/>
    <w:rsid w:val="00F718BB"/>
    <w:rsid w:val="00F7437C"/>
    <w:rsid w:val="00F761E4"/>
    <w:rsid w:val="00F80EC9"/>
    <w:rsid w:val="00F863E7"/>
    <w:rsid w:val="00F867C0"/>
    <w:rsid w:val="00F91DC8"/>
    <w:rsid w:val="00F950FE"/>
    <w:rsid w:val="00FA15ED"/>
    <w:rsid w:val="00FA6973"/>
    <w:rsid w:val="00FA7CB4"/>
    <w:rsid w:val="00FB100A"/>
    <w:rsid w:val="00FB23C1"/>
    <w:rsid w:val="00FC5391"/>
    <w:rsid w:val="00FC590A"/>
    <w:rsid w:val="00FC61B0"/>
    <w:rsid w:val="00FC6DC0"/>
    <w:rsid w:val="00FD198D"/>
    <w:rsid w:val="00FD28AF"/>
    <w:rsid w:val="00FD37D8"/>
    <w:rsid w:val="00FD7C87"/>
    <w:rsid w:val="00FE23DE"/>
    <w:rsid w:val="00FF3D39"/>
    <w:rsid w:val="00FF4E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E57796"/>
  <w15:docId w15:val="{EB5B5C89-FE1D-41AB-9B75-99D54F92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unhideWhenUsed="1"/>
    <w:lsdException w:name="List Number 2"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3" w:unhideWhenUsed="1"/>
    <w:lsdException w:name="Body Text Indent 2"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uiPriority="69"/>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2023B"/>
    <w:pPr>
      <w:spacing w:after="200"/>
    </w:pPr>
    <w:rPr>
      <w:sz w:val="24"/>
      <w:szCs w:val="24"/>
    </w:rPr>
  </w:style>
  <w:style w:type="paragraph" w:styleId="Heading1">
    <w:name w:val="heading 1"/>
    <w:basedOn w:val="Normal"/>
    <w:next w:val="BodyText"/>
    <w:link w:val="Heading1Char"/>
    <w:qFormat/>
    <w:rsid w:val="004F008D"/>
    <w:pPr>
      <w:keepNext/>
      <w:numPr>
        <w:numId w:val="1"/>
      </w:numPr>
      <w:spacing w:before="240" w:after="60"/>
      <w:outlineLvl w:val="0"/>
    </w:pPr>
    <w:rPr>
      <w:rFonts w:ascii="Arial" w:eastAsia="Times New Roman" w:hAnsi="Arial"/>
      <w:b/>
      <w:kern w:val="32"/>
      <w:szCs w:val="32"/>
    </w:rPr>
  </w:style>
  <w:style w:type="paragraph" w:styleId="Heading2">
    <w:name w:val="heading 2"/>
    <w:basedOn w:val="Normal"/>
    <w:next w:val="Normal"/>
    <w:link w:val="Heading2Char"/>
    <w:autoRedefine/>
    <w:qFormat/>
    <w:rsid w:val="00D70AC2"/>
    <w:pPr>
      <w:keepNext/>
      <w:numPr>
        <w:ilvl w:val="1"/>
        <w:numId w:val="1"/>
      </w:numPr>
      <w:spacing w:before="240" w:after="60"/>
      <w:outlineLvl w:val="1"/>
    </w:pPr>
    <w:rPr>
      <w:rFonts w:ascii="Arial" w:eastAsia="Arial" w:hAnsi="Arial"/>
      <w:b/>
      <w:sz w:val="22"/>
      <w:szCs w:val="28"/>
    </w:rPr>
  </w:style>
  <w:style w:type="paragraph" w:styleId="Heading3">
    <w:name w:val="heading 3"/>
    <w:basedOn w:val="Normal"/>
    <w:next w:val="Normal"/>
    <w:link w:val="Heading3Char"/>
    <w:qFormat/>
    <w:rsid w:val="00F6506A"/>
    <w:pPr>
      <w:keepNext/>
      <w:numPr>
        <w:ilvl w:val="2"/>
        <w:numId w:val="1"/>
      </w:numPr>
      <w:spacing w:before="240" w:after="60"/>
      <w:outlineLvl w:val="2"/>
    </w:pPr>
    <w:rPr>
      <w:rFonts w:ascii="Arial" w:eastAsia="Times New Roman" w:hAnsi="Arial"/>
      <w:b/>
      <w:sz w:val="22"/>
      <w:szCs w:val="26"/>
    </w:rPr>
  </w:style>
  <w:style w:type="paragraph" w:styleId="Heading4">
    <w:name w:val="heading 4"/>
    <w:basedOn w:val="Normal"/>
    <w:next w:val="BodyText"/>
    <w:link w:val="Heading4Char"/>
    <w:qFormat/>
    <w:rsid w:val="00F6506A"/>
    <w:pPr>
      <w:keepNext/>
      <w:spacing w:before="240" w:after="60"/>
      <w:outlineLvl w:val="3"/>
    </w:pPr>
    <w:rPr>
      <w:rFonts w:ascii="Arial" w:eastAsia="Times New Roman" w:hAnsi="Arial"/>
      <w:i/>
      <w:sz w:val="20"/>
      <w:szCs w:val="28"/>
    </w:rPr>
  </w:style>
  <w:style w:type="paragraph" w:styleId="Heading7">
    <w:name w:val="heading 7"/>
    <w:basedOn w:val="Normal"/>
    <w:next w:val="Normal"/>
    <w:link w:val="Heading7Char"/>
    <w:qFormat/>
    <w:rsid w:val="00F5440C"/>
    <w:pPr>
      <w:spacing w:before="240" w:after="60"/>
      <w:outlineLvl w:val="6"/>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43D9"/>
    <w:pPr>
      <w:spacing w:before="120" w:after="120"/>
    </w:pPr>
    <w:rPr>
      <w:rFonts w:eastAsia="Times New Roman"/>
    </w:rPr>
  </w:style>
  <w:style w:type="character" w:customStyle="1" w:styleId="BodyTextChar">
    <w:name w:val="Body Text Char"/>
    <w:link w:val="BodyText"/>
    <w:rsid w:val="006C43D9"/>
    <w:rPr>
      <w:rFonts w:eastAsia="Times New Roman"/>
      <w:sz w:val="24"/>
      <w:szCs w:val="24"/>
    </w:rPr>
  </w:style>
  <w:style w:type="character" w:customStyle="1" w:styleId="Heading1Char">
    <w:name w:val="Heading 1 Char"/>
    <w:link w:val="Heading1"/>
    <w:rsid w:val="004F008D"/>
    <w:rPr>
      <w:rFonts w:ascii="Arial" w:eastAsia="Times New Roman" w:hAnsi="Arial"/>
      <w:b/>
      <w:kern w:val="32"/>
      <w:sz w:val="24"/>
      <w:szCs w:val="32"/>
    </w:rPr>
  </w:style>
  <w:style w:type="character" w:customStyle="1" w:styleId="Heading2Char">
    <w:name w:val="Heading 2 Char"/>
    <w:link w:val="Heading2"/>
    <w:rsid w:val="00D70AC2"/>
    <w:rPr>
      <w:rFonts w:ascii="Arial" w:eastAsia="Arial" w:hAnsi="Arial"/>
      <w:b/>
      <w:sz w:val="22"/>
      <w:szCs w:val="28"/>
    </w:rPr>
  </w:style>
  <w:style w:type="character" w:customStyle="1" w:styleId="Heading3Char">
    <w:name w:val="Heading 3 Char"/>
    <w:link w:val="Heading3"/>
    <w:rsid w:val="00F6506A"/>
    <w:rPr>
      <w:rFonts w:ascii="Arial" w:eastAsia="Times New Roman" w:hAnsi="Arial"/>
      <w:b/>
      <w:sz w:val="22"/>
      <w:szCs w:val="26"/>
    </w:rPr>
  </w:style>
  <w:style w:type="character" w:customStyle="1" w:styleId="Heading4Char">
    <w:name w:val="Heading 4 Char"/>
    <w:link w:val="Heading4"/>
    <w:rsid w:val="00F6506A"/>
    <w:rPr>
      <w:rFonts w:ascii="Arial" w:eastAsia="Times New Roman" w:hAnsi="Arial"/>
      <w:i/>
      <w:szCs w:val="28"/>
    </w:rPr>
  </w:style>
  <w:style w:type="paragraph" w:customStyle="1" w:styleId="AnnexHeading">
    <w:name w:val="Annex Heading"/>
    <w:basedOn w:val="Normal"/>
    <w:next w:val="Normal"/>
    <w:rsid w:val="00F6506A"/>
    <w:pPr>
      <w:suppressAutoHyphens/>
      <w:spacing w:after="240"/>
    </w:pPr>
    <w:rPr>
      <w:rFonts w:ascii="Arial" w:eastAsia="Times New Roman" w:hAnsi="Arial"/>
      <w:b/>
      <w:sz w:val="22"/>
      <w:szCs w:val="22"/>
      <w:lang w:eastAsia="en-GB"/>
    </w:rPr>
  </w:style>
  <w:style w:type="paragraph" w:customStyle="1" w:styleId="Appendix">
    <w:name w:val="Appendix"/>
    <w:basedOn w:val="Heading1"/>
    <w:rsid w:val="00F6506A"/>
    <w:pPr>
      <w:keepNext w:val="0"/>
      <w:spacing w:before="0" w:after="360"/>
    </w:pPr>
    <w:rPr>
      <w:bCs/>
      <w:kern w:val="0"/>
      <w:szCs w:val="20"/>
    </w:rPr>
  </w:style>
  <w:style w:type="paragraph" w:customStyle="1" w:styleId="Bullet1">
    <w:name w:val="Bullet 1"/>
    <w:basedOn w:val="Normal"/>
    <w:rsid w:val="008A0D95"/>
    <w:pPr>
      <w:tabs>
        <w:tab w:val="num" w:pos="720"/>
      </w:tabs>
      <w:suppressAutoHyphens/>
      <w:spacing w:after="120"/>
      <w:ind w:left="720" w:hanging="360"/>
    </w:pPr>
    <w:rPr>
      <w:rFonts w:ascii="Verdana" w:eastAsia="Times New Roman" w:hAnsi="Verdana"/>
      <w:sz w:val="22"/>
      <w:szCs w:val="20"/>
    </w:rPr>
  </w:style>
  <w:style w:type="paragraph" w:styleId="Caption">
    <w:name w:val="caption"/>
    <w:basedOn w:val="Normal"/>
    <w:next w:val="Normal"/>
    <w:qFormat/>
    <w:rsid w:val="00F6506A"/>
    <w:pPr>
      <w:suppressAutoHyphens/>
      <w:spacing w:after="120"/>
    </w:pPr>
    <w:rPr>
      <w:rFonts w:ascii="Times New Roman" w:eastAsia="Times New Roman" w:hAnsi="Times New Roman"/>
      <w:b/>
      <w:bCs/>
      <w:sz w:val="20"/>
      <w:szCs w:val="20"/>
      <w:lang w:eastAsia="en-GB"/>
    </w:rPr>
  </w:style>
  <w:style w:type="paragraph" w:styleId="FootnoteText">
    <w:name w:val="footnote text"/>
    <w:aliases w:val="FOOTNOTES,fn,single space,footnote text,ft,Fußnotentextf,footnote text Char Char Char,footnote text Char Char,footnote text Char Char Char Char Char,Char Char Char,texto de nota al pie Car1,Nota a pie/Bibliog Car1,ALTS FOOTNOTE,f,ADB"/>
    <w:basedOn w:val="Normal"/>
    <w:link w:val="FootnoteTextChar"/>
    <w:uiPriority w:val="99"/>
    <w:qFormat/>
    <w:rsid w:val="00F6506A"/>
    <w:pPr>
      <w:suppressAutoHyphens/>
      <w:spacing w:after="120"/>
      <w:jc w:val="both"/>
    </w:pPr>
    <w:rPr>
      <w:rFonts w:ascii="Book Antiqua" w:eastAsia="Times New Roman" w:hAnsi="Book Antiqua"/>
      <w:sz w:val="18"/>
      <w:szCs w:val="20"/>
      <w:lang w:eastAsia="en-GB"/>
    </w:rPr>
  </w:style>
  <w:style w:type="character" w:customStyle="1" w:styleId="FootnoteTextChar">
    <w:name w:val="Footnote Text Char"/>
    <w:aliases w:val="FOOTNOTES Char,fn Char,single space Char,footnote text Char,ft Char,Fußnotentextf Char,footnote text Char Char Char Char,footnote text Char Char Char1,footnote text Char Char Char Char Char Char,Char Char Char Char,ALTS FOOTNOTE Char"/>
    <w:link w:val="FootnoteText"/>
    <w:uiPriority w:val="99"/>
    <w:rsid w:val="00F6506A"/>
    <w:rPr>
      <w:rFonts w:ascii="Book Antiqua" w:eastAsia="Times New Roman" w:hAnsi="Book Antiqua"/>
      <w:sz w:val="18"/>
      <w:lang w:eastAsia="en-GB"/>
    </w:rPr>
  </w:style>
  <w:style w:type="paragraph" w:customStyle="1" w:styleId="Head1">
    <w:name w:val="Head 1"/>
    <w:basedOn w:val="Heading1"/>
    <w:next w:val="BodyText"/>
    <w:rsid w:val="00F6506A"/>
    <w:pPr>
      <w:numPr>
        <w:numId w:val="0"/>
      </w:numPr>
    </w:pPr>
    <w:rPr>
      <w:bCs/>
      <w:sz w:val="28"/>
    </w:rPr>
  </w:style>
  <w:style w:type="paragraph" w:customStyle="1" w:styleId="Head2">
    <w:name w:val="Head 2"/>
    <w:basedOn w:val="Heading2"/>
    <w:next w:val="BodyText"/>
    <w:rsid w:val="00F6506A"/>
    <w:pPr>
      <w:numPr>
        <w:ilvl w:val="0"/>
        <w:numId w:val="0"/>
      </w:numPr>
    </w:pPr>
    <w:rPr>
      <w:bCs/>
      <w:iCs/>
    </w:rPr>
  </w:style>
  <w:style w:type="paragraph" w:customStyle="1" w:styleId="Head3">
    <w:name w:val="Head 3"/>
    <w:basedOn w:val="Heading3"/>
    <w:next w:val="BodyText"/>
    <w:rsid w:val="00F6506A"/>
    <w:pPr>
      <w:numPr>
        <w:ilvl w:val="0"/>
        <w:numId w:val="0"/>
      </w:numPr>
    </w:pPr>
    <w:rPr>
      <w:bCs/>
    </w:rPr>
  </w:style>
  <w:style w:type="paragraph" w:customStyle="1" w:styleId="TableEntry">
    <w:name w:val="Table Entry"/>
    <w:rsid w:val="00F6506A"/>
    <w:pPr>
      <w:spacing w:before="40" w:after="40"/>
    </w:pPr>
    <w:rPr>
      <w:rFonts w:ascii="Arial" w:eastAsia="Times New Roman" w:hAnsi="Arial"/>
      <w:sz w:val="18"/>
    </w:rPr>
  </w:style>
  <w:style w:type="paragraph" w:customStyle="1" w:styleId="TableEntryBullet">
    <w:name w:val="Table Entry Bullet"/>
    <w:basedOn w:val="TableEntry"/>
    <w:rsid w:val="00F6506A"/>
    <w:pPr>
      <w:tabs>
        <w:tab w:val="left" w:pos="5058"/>
      </w:tabs>
    </w:pPr>
  </w:style>
  <w:style w:type="table" w:styleId="TableGrid">
    <w:name w:val="Table Grid"/>
    <w:basedOn w:val="TableNormal"/>
    <w:uiPriority w:val="39"/>
    <w:rsid w:val="00F6506A"/>
    <w:pPr>
      <w:suppressAutoHyphens/>
      <w:spacing w:before="40" w:after="40"/>
    </w:pPr>
    <w:rPr>
      <w:rFonts w:ascii="Arial" w:eastAsia="Times New Roman" w:hAnsi="Arial"/>
      <w:sz w:val="18"/>
      <w:szCs w:val="18"/>
    </w:rPr>
    <w:tblPr>
      <w:jc w:val="center"/>
      <w:tblBorders>
        <w:top w:val="single" w:sz="8" w:space="0" w:color="auto"/>
        <w:bottom w:val="single" w:sz="8" w:space="0" w:color="auto"/>
        <w:insideH w:val="dotted" w:sz="8" w:space="0" w:color="auto"/>
      </w:tblBorders>
      <w:tblCellMar>
        <w:left w:w="72" w:type="dxa"/>
        <w:right w:w="72" w:type="dxa"/>
      </w:tblCellMar>
    </w:tblPr>
    <w:trPr>
      <w:jc w:val="center"/>
    </w:trPr>
  </w:style>
  <w:style w:type="paragraph" w:customStyle="1" w:styleId="TableHead">
    <w:name w:val="Table Head"/>
    <w:rsid w:val="00F6506A"/>
    <w:pPr>
      <w:spacing w:before="60" w:after="60"/>
      <w:jc w:val="center"/>
    </w:pPr>
    <w:rPr>
      <w:rFonts w:ascii="Arial" w:eastAsia="Times New Roman" w:hAnsi="Arial"/>
      <w:i/>
      <w:snapToGrid w:val="0"/>
      <w:sz w:val="18"/>
    </w:rPr>
  </w:style>
  <w:style w:type="paragraph" w:customStyle="1" w:styleId="TableNote">
    <w:name w:val="Table Note"/>
    <w:basedOn w:val="Normal"/>
    <w:rsid w:val="00F6506A"/>
    <w:pPr>
      <w:tabs>
        <w:tab w:val="right" w:pos="630"/>
        <w:tab w:val="right" w:pos="720"/>
      </w:tabs>
      <w:suppressAutoHyphens/>
      <w:spacing w:before="60" w:after="60"/>
    </w:pPr>
    <w:rPr>
      <w:rFonts w:ascii="Arial" w:eastAsia="Times New Roman" w:hAnsi="Arial"/>
      <w:sz w:val="18"/>
    </w:rPr>
  </w:style>
  <w:style w:type="character" w:customStyle="1" w:styleId="TableNoteChar">
    <w:name w:val="Table Note Char"/>
    <w:rsid w:val="00F6506A"/>
    <w:rPr>
      <w:rFonts w:ascii="Arial" w:hAnsi="Arial"/>
      <w:sz w:val="18"/>
      <w:szCs w:val="24"/>
      <w:lang w:val="en-US" w:eastAsia="en-US" w:bidi="ar-SA"/>
    </w:rPr>
  </w:style>
  <w:style w:type="paragraph" w:customStyle="1" w:styleId="Tablesource">
    <w:name w:val="Table source"/>
    <w:basedOn w:val="Normal"/>
    <w:next w:val="Normal"/>
    <w:rsid w:val="00F6506A"/>
    <w:pPr>
      <w:suppressAutoHyphens/>
      <w:spacing w:after="240"/>
      <w:ind w:left="288" w:hanging="288"/>
      <w:jc w:val="both"/>
    </w:pPr>
    <w:rPr>
      <w:rFonts w:ascii="Book Antiqua" w:eastAsia="Times New Roman" w:hAnsi="Book Antiqua"/>
      <w:sz w:val="18"/>
      <w:szCs w:val="20"/>
    </w:rPr>
  </w:style>
  <w:style w:type="paragraph" w:customStyle="1" w:styleId="TableTitle">
    <w:name w:val="Table Title"/>
    <w:basedOn w:val="Normal"/>
    <w:next w:val="Normal"/>
    <w:rsid w:val="00F6506A"/>
    <w:pPr>
      <w:suppressAutoHyphens/>
      <w:spacing w:after="120"/>
      <w:jc w:val="both"/>
    </w:pPr>
    <w:rPr>
      <w:rFonts w:ascii="Arial" w:eastAsia="Times New Roman" w:hAnsi="Arial"/>
      <w:b/>
      <w:sz w:val="20"/>
      <w:lang w:eastAsia="en-GB"/>
    </w:rPr>
  </w:style>
  <w:style w:type="character" w:styleId="FootnoteReference">
    <w:name w:val="footnote reference"/>
    <w:aliases w:val="ftref,referencia nota al pie,Знак сноски 1,Footnote Reference Number,Footnote Reference_LVL6,Footnote Reference_LVL61,Footnote Reference_LVL62,Footnote Reference_LVL63,Footnote Reference_LVL64,16 Point,Superscript 6 Point, BVI fnr,fr"/>
    <w:link w:val="CharCharCharCharCarChar"/>
    <w:uiPriority w:val="99"/>
    <w:unhideWhenUsed/>
    <w:qFormat/>
    <w:rsid w:val="00353E96"/>
    <w:rPr>
      <w:vertAlign w:val="superscript"/>
    </w:rPr>
  </w:style>
  <w:style w:type="paragraph" w:styleId="Footer">
    <w:name w:val="footer"/>
    <w:basedOn w:val="Normal"/>
    <w:link w:val="FooterChar"/>
    <w:unhideWhenUsed/>
    <w:rsid w:val="00FA6DBD"/>
    <w:pPr>
      <w:tabs>
        <w:tab w:val="center" w:pos="4320"/>
        <w:tab w:val="right" w:pos="8640"/>
      </w:tabs>
    </w:pPr>
  </w:style>
  <w:style w:type="character" w:customStyle="1" w:styleId="FooterChar">
    <w:name w:val="Footer Char"/>
    <w:link w:val="Footer"/>
    <w:rsid w:val="00FA6DBD"/>
    <w:rPr>
      <w:sz w:val="24"/>
      <w:szCs w:val="24"/>
    </w:rPr>
  </w:style>
  <w:style w:type="character" w:styleId="PageNumber">
    <w:name w:val="page number"/>
    <w:basedOn w:val="DefaultParagraphFont"/>
    <w:uiPriority w:val="99"/>
    <w:semiHidden/>
    <w:unhideWhenUsed/>
    <w:rsid w:val="00FA6DBD"/>
  </w:style>
  <w:style w:type="character" w:styleId="Hyperlink">
    <w:name w:val="Hyperlink"/>
    <w:uiPriority w:val="99"/>
    <w:rsid w:val="00D92972"/>
    <w:rPr>
      <w:color w:val="0000D4"/>
      <w:u w:val="single"/>
    </w:rPr>
  </w:style>
  <w:style w:type="paragraph" w:styleId="Header">
    <w:name w:val="header"/>
    <w:basedOn w:val="Normal"/>
    <w:link w:val="HeaderChar"/>
    <w:rsid w:val="00C35CC4"/>
    <w:pPr>
      <w:tabs>
        <w:tab w:val="center" w:pos="4320"/>
        <w:tab w:val="right" w:pos="8640"/>
      </w:tabs>
    </w:pPr>
  </w:style>
  <w:style w:type="character" w:customStyle="1" w:styleId="HeaderChar">
    <w:name w:val="Header Char"/>
    <w:link w:val="Header"/>
    <w:rsid w:val="00C35CC4"/>
    <w:rPr>
      <w:sz w:val="24"/>
      <w:szCs w:val="24"/>
    </w:rPr>
  </w:style>
  <w:style w:type="paragraph" w:styleId="CommentText">
    <w:name w:val="annotation text"/>
    <w:basedOn w:val="Normal"/>
    <w:link w:val="CommentTextChar"/>
    <w:uiPriority w:val="99"/>
    <w:rsid w:val="00A1537B"/>
    <w:pPr>
      <w:spacing w:after="0"/>
    </w:pPr>
    <w:rPr>
      <w:rFonts w:ascii="Times New Roman" w:eastAsia="Times New Roman" w:hAnsi="Times New Roman"/>
      <w:sz w:val="20"/>
      <w:szCs w:val="20"/>
    </w:rPr>
  </w:style>
  <w:style w:type="character" w:customStyle="1" w:styleId="CommentTextChar">
    <w:name w:val="Comment Text Char"/>
    <w:link w:val="CommentText"/>
    <w:uiPriority w:val="99"/>
    <w:rsid w:val="00A1537B"/>
    <w:rPr>
      <w:rFonts w:ascii="Times New Roman" w:eastAsia="Times New Roman" w:hAnsi="Times New Roman"/>
    </w:rPr>
  </w:style>
  <w:style w:type="character" w:styleId="CommentReference">
    <w:name w:val="annotation reference"/>
    <w:rsid w:val="00A1537B"/>
    <w:rPr>
      <w:sz w:val="18"/>
      <w:szCs w:val="18"/>
    </w:rPr>
  </w:style>
  <w:style w:type="paragraph" w:styleId="BalloonText">
    <w:name w:val="Balloon Text"/>
    <w:basedOn w:val="Normal"/>
    <w:link w:val="BalloonTextChar"/>
    <w:rsid w:val="00A1537B"/>
    <w:pPr>
      <w:spacing w:after="0"/>
    </w:pPr>
    <w:rPr>
      <w:rFonts w:ascii="Lucida Grande" w:hAnsi="Lucida Grande"/>
      <w:sz w:val="18"/>
      <w:szCs w:val="18"/>
    </w:rPr>
  </w:style>
  <w:style w:type="character" w:customStyle="1" w:styleId="BalloonTextChar">
    <w:name w:val="Balloon Text Char"/>
    <w:link w:val="BalloonText"/>
    <w:rsid w:val="00A1537B"/>
    <w:rPr>
      <w:rFonts w:ascii="Lucida Grande" w:hAnsi="Lucida Grande"/>
      <w:sz w:val="18"/>
      <w:szCs w:val="18"/>
    </w:rPr>
  </w:style>
  <w:style w:type="paragraph" w:customStyle="1" w:styleId="ColorfulList-Accent11">
    <w:name w:val="Colorful List - Accent 11"/>
    <w:aliases w:val="Sub-heading,Numbered Paragraph,Main numbered paragraph,References,Numbered List Paragraph,123 List Paragraph,List Paragraph (numbered (a)),List Paragraph nowy,Liste 1,List_Paragraph,Multilevel para_II,List Paragraph1"/>
    <w:basedOn w:val="Normal"/>
    <w:link w:val="ColorfulList-Accent1Char"/>
    <w:uiPriority w:val="34"/>
    <w:qFormat/>
    <w:rsid w:val="00871C9D"/>
    <w:pPr>
      <w:spacing w:after="0"/>
      <w:ind w:left="720"/>
      <w:contextualSpacing/>
    </w:pPr>
    <w:rPr>
      <w:rFonts w:ascii="Times New Roman" w:eastAsia="Times New Roman" w:hAnsi="Times New Roman"/>
    </w:rPr>
  </w:style>
  <w:style w:type="character" w:customStyle="1" w:styleId="Heading7Char">
    <w:name w:val="Heading 7 Char"/>
    <w:link w:val="Heading7"/>
    <w:rsid w:val="00F5440C"/>
    <w:rPr>
      <w:rFonts w:ascii="Times New Roman" w:eastAsia="Times New Roman" w:hAnsi="Times New Roman"/>
      <w:sz w:val="24"/>
      <w:szCs w:val="24"/>
    </w:rPr>
  </w:style>
  <w:style w:type="paragraph" w:styleId="TOC2">
    <w:name w:val="toc 2"/>
    <w:basedOn w:val="Normal"/>
    <w:next w:val="Normal"/>
    <w:autoRedefine/>
    <w:uiPriority w:val="39"/>
    <w:rsid w:val="00F5440C"/>
    <w:pPr>
      <w:ind w:left="240"/>
    </w:pPr>
  </w:style>
  <w:style w:type="paragraph" w:styleId="TOC1">
    <w:name w:val="toc 1"/>
    <w:basedOn w:val="Normal"/>
    <w:next w:val="Normal"/>
    <w:autoRedefine/>
    <w:uiPriority w:val="39"/>
    <w:rsid w:val="00F5440C"/>
  </w:style>
  <w:style w:type="paragraph" w:styleId="TOC3">
    <w:name w:val="toc 3"/>
    <w:basedOn w:val="Normal"/>
    <w:next w:val="Normal"/>
    <w:autoRedefine/>
    <w:uiPriority w:val="39"/>
    <w:rsid w:val="00F5440C"/>
    <w:pPr>
      <w:ind w:left="480"/>
    </w:pPr>
  </w:style>
  <w:style w:type="paragraph" w:styleId="BodyTextIndent">
    <w:name w:val="Body Text Indent"/>
    <w:basedOn w:val="Normal"/>
    <w:link w:val="BodyTextIndentChar"/>
    <w:rsid w:val="00F5440C"/>
    <w:pPr>
      <w:spacing w:after="120"/>
      <w:ind w:left="360"/>
    </w:pPr>
  </w:style>
  <w:style w:type="character" w:customStyle="1" w:styleId="BodyTextIndentChar">
    <w:name w:val="Body Text Indent Char"/>
    <w:link w:val="BodyTextIndent"/>
    <w:rsid w:val="00F5440C"/>
    <w:rPr>
      <w:sz w:val="24"/>
      <w:szCs w:val="24"/>
    </w:rPr>
  </w:style>
  <w:style w:type="paragraph" w:customStyle="1" w:styleId="Char">
    <w:name w:val="Char"/>
    <w:basedOn w:val="Normal"/>
    <w:rsid w:val="00F5440C"/>
    <w:pPr>
      <w:spacing w:after="160" w:line="240" w:lineRule="exact"/>
    </w:pPr>
    <w:rPr>
      <w:rFonts w:ascii="Verdana" w:eastAsia="Times New Roman" w:hAnsi="Verdana" w:cs="Verdana"/>
      <w:sz w:val="20"/>
      <w:szCs w:val="20"/>
    </w:rPr>
  </w:style>
  <w:style w:type="paragraph" w:styleId="BodyTextIndent3">
    <w:name w:val="Body Text Indent 3"/>
    <w:basedOn w:val="Normal"/>
    <w:link w:val="BodyTextIndent3Char"/>
    <w:rsid w:val="00F5440C"/>
    <w:pPr>
      <w:spacing w:after="120"/>
      <w:ind w:left="360"/>
    </w:pPr>
    <w:rPr>
      <w:sz w:val="16"/>
      <w:szCs w:val="16"/>
    </w:rPr>
  </w:style>
  <w:style w:type="character" w:customStyle="1" w:styleId="BodyTextIndent3Char">
    <w:name w:val="Body Text Indent 3 Char"/>
    <w:link w:val="BodyTextIndent3"/>
    <w:rsid w:val="00F5440C"/>
    <w:rPr>
      <w:sz w:val="16"/>
      <w:szCs w:val="16"/>
    </w:rPr>
  </w:style>
  <w:style w:type="character" w:customStyle="1" w:styleId="ColorfulList-Accent1Char">
    <w:name w:val="Colorful List - Accent 1 Char"/>
    <w:aliases w:val="Sub-heading Char,Numbered Paragraph Char,Main numbered paragraph Char,References Char,Numbered List Paragraph Char,123 List Paragraph Char,List Paragraph (numbered (a)) Char,List Paragraph nowy Char,Liste 1 Char"/>
    <w:link w:val="ColorfulList-Accent11"/>
    <w:uiPriority w:val="99"/>
    <w:qFormat/>
    <w:locked/>
    <w:rsid w:val="00CB0ACA"/>
    <w:rPr>
      <w:rFonts w:ascii="Times New Roman" w:eastAsia="Times New Roman" w:hAnsi="Times New Roman"/>
      <w:sz w:val="24"/>
      <w:szCs w:val="24"/>
    </w:rPr>
  </w:style>
  <w:style w:type="character" w:styleId="Emphasis">
    <w:name w:val="Emphasis"/>
    <w:uiPriority w:val="20"/>
    <w:qFormat/>
    <w:rsid w:val="008D5C2F"/>
    <w:rPr>
      <w:b/>
      <w:bCs/>
      <w:i w:val="0"/>
      <w:iCs w:val="0"/>
    </w:rPr>
  </w:style>
  <w:style w:type="paragraph" w:customStyle="1" w:styleId="Para">
    <w:name w:val="Para"/>
    <w:uiPriority w:val="99"/>
    <w:qFormat/>
    <w:rsid w:val="00C84B85"/>
    <w:pPr>
      <w:suppressAutoHyphens/>
      <w:spacing w:after="120" w:line="100" w:lineRule="atLeast"/>
      <w:jc w:val="both"/>
    </w:pPr>
    <w:rPr>
      <w:rFonts w:ascii="Times New Roman" w:eastAsia="SimSun" w:hAnsi="Times New Roman" w:cs="Calibri"/>
      <w:kern w:val="1"/>
      <w:sz w:val="24"/>
      <w:szCs w:val="24"/>
      <w:lang w:eastAsia="hi-IN" w:bidi="hi-IN"/>
    </w:rPr>
  </w:style>
  <w:style w:type="paragraph" w:customStyle="1" w:styleId="CharCharCharCharCarChar">
    <w:name w:val="Char Char Char Char Car Char"/>
    <w:aliases w:val="BVI fn,Footnote"/>
    <w:basedOn w:val="Normal"/>
    <w:next w:val="Normal"/>
    <w:link w:val="FootnoteReference"/>
    <w:uiPriority w:val="99"/>
    <w:rsid w:val="00C84B85"/>
    <w:pPr>
      <w:spacing w:after="160" w:line="240" w:lineRule="exact"/>
    </w:pPr>
    <w:rPr>
      <w:sz w:val="20"/>
      <w:szCs w:val="20"/>
      <w:vertAlign w:val="superscript"/>
    </w:rPr>
  </w:style>
  <w:style w:type="paragraph" w:customStyle="1" w:styleId="AppendixH1">
    <w:name w:val="AppendixH1"/>
    <w:next w:val="Normal"/>
    <w:rsid w:val="006E13A1"/>
    <w:pPr>
      <w:keepLines/>
      <w:widowControl w:val="0"/>
      <w:tabs>
        <w:tab w:val="left" w:pos="680"/>
      </w:tabs>
      <w:spacing w:before="480" w:after="240"/>
      <w:ind w:right="2835"/>
    </w:pPr>
    <w:rPr>
      <w:rFonts w:ascii="Arial" w:eastAsia="SimHei" w:hAnsi="Arial" w:cs="Arial"/>
      <w:b/>
      <w:bCs/>
      <w:sz w:val="28"/>
      <w:szCs w:val="30"/>
      <w:lang w:val="en-GB"/>
    </w:rPr>
  </w:style>
  <w:style w:type="paragraph" w:customStyle="1" w:styleId="ListDash1">
    <w:name w:val="List Dash 1"/>
    <w:basedOn w:val="Normal"/>
    <w:rsid w:val="003B5C7A"/>
    <w:pPr>
      <w:numPr>
        <w:numId w:val="2"/>
      </w:numPr>
      <w:spacing w:before="120" w:after="120"/>
      <w:jc w:val="both"/>
    </w:pPr>
    <w:rPr>
      <w:rFonts w:ascii="Times New Roman" w:eastAsia="Times New Roman" w:hAnsi="Times New Roman"/>
      <w:lang w:val="en-GB" w:eastAsia="de-DE"/>
    </w:rPr>
  </w:style>
  <w:style w:type="paragraph" w:styleId="NormalWeb">
    <w:name w:val="Normal (Web)"/>
    <w:basedOn w:val="Normal"/>
    <w:uiPriority w:val="99"/>
    <w:unhideWhenUsed/>
    <w:rsid w:val="00FE23DE"/>
    <w:pPr>
      <w:spacing w:before="100" w:beforeAutospacing="1" w:after="100" w:afterAutospacing="1"/>
    </w:pPr>
    <w:rPr>
      <w:rFonts w:ascii="Times New Roman" w:hAnsi="Times New Roman"/>
      <w:sz w:val="20"/>
      <w:szCs w:val="20"/>
    </w:rPr>
  </w:style>
  <w:style w:type="paragraph" w:customStyle="1" w:styleId="HEARTBodytext">
    <w:name w:val="HEART Body text"/>
    <w:basedOn w:val="Normal"/>
    <w:link w:val="HEARTBodytextChar"/>
    <w:qFormat/>
    <w:rsid w:val="00A35766"/>
    <w:pPr>
      <w:spacing w:after="120"/>
    </w:pPr>
    <w:rPr>
      <w:rFonts w:ascii="Arial" w:eastAsia="Times New Roman" w:hAnsi="Arial"/>
      <w:sz w:val="22"/>
      <w:szCs w:val="20"/>
      <w:lang w:val="en-GB"/>
    </w:rPr>
  </w:style>
  <w:style w:type="character" w:customStyle="1" w:styleId="HEARTBodytextChar">
    <w:name w:val="HEART Body text Char"/>
    <w:link w:val="HEARTBodytext"/>
    <w:rsid w:val="00A35766"/>
    <w:rPr>
      <w:rFonts w:ascii="Arial" w:eastAsia="Times New Roman" w:hAnsi="Arial"/>
      <w:sz w:val="22"/>
      <w:lang w:val="en-GB"/>
    </w:rPr>
  </w:style>
  <w:style w:type="paragraph" w:customStyle="1" w:styleId="Heading4NONUM">
    <w:name w:val="Heading 4 NO NUM"/>
    <w:basedOn w:val="Heading4"/>
    <w:next w:val="HEARTBodytext"/>
    <w:qFormat/>
    <w:rsid w:val="00A35766"/>
    <w:pPr>
      <w:spacing w:before="120" w:after="120"/>
    </w:pPr>
    <w:rPr>
      <w:b/>
      <w:i w:val="0"/>
      <w:kern w:val="32"/>
      <w:sz w:val="22"/>
      <w:lang w:val="en-GB"/>
    </w:rPr>
  </w:style>
  <w:style w:type="paragraph" w:customStyle="1" w:styleId="Default">
    <w:name w:val="Default"/>
    <w:rsid w:val="00C76F4D"/>
    <w:pPr>
      <w:autoSpaceDE w:val="0"/>
      <w:autoSpaceDN w:val="0"/>
      <w:adjustRightInd w:val="0"/>
    </w:pPr>
    <w:rPr>
      <w:rFonts w:ascii="Times New Roman" w:eastAsia="Yu Mincho" w:hAnsi="Times New Roman"/>
      <w:color w:val="000000"/>
      <w:sz w:val="24"/>
      <w:szCs w:val="24"/>
    </w:rPr>
  </w:style>
  <w:style w:type="paragraph" w:customStyle="1" w:styleId="NoSpacing1">
    <w:name w:val="No Spacing1"/>
    <w:link w:val="NoSpacingChar"/>
    <w:uiPriority w:val="1"/>
    <w:qFormat/>
    <w:rsid w:val="00843EA7"/>
    <w:rPr>
      <w:rFonts w:ascii="Calibri" w:eastAsia="Yu Mincho" w:hAnsi="Calibri"/>
      <w:sz w:val="22"/>
      <w:szCs w:val="22"/>
    </w:rPr>
  </w:style>
  <w:style w:type="character" w:customStyle="1" w:styleId="NoSpacingChar">
    <w:name w:val="No Spacing Char"/>
    <w:link w:val="NoSpacing1"/>
    <w:uiPriority w:val="1"/>
    <w:rsid w:val="00843EA7"/>
    <w:rPr>
      <w:rFonts w:ascii="Calibri" w:eastAsia="Yu Mincho" w:hAnsi="Calibri"/>
      <w:sz w:val="22"/>
      <w:szCs w:val="22"/>
    </w:rPr>
  </w:style>
  <w:style w:type="table" w:customStyle="1" w:styleId="PlainTable21">
    <w:name w:val="Plain Table 21"/>
    <w:basedOn w:val="TableNormal"/>
    <w:uiPriority w:val="42"/>
    <w:rsid w:val="00843EA7"/>
    <w:rPr>
      <w:rFonts w:ascii="Calibri" w:eastAsia="Calibri" w:hAnsi="Calibri"/>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leParagraph">
    <w:name w:val="Table Paragraph"/>
    <w:basedOn w:val="Normal"/>
    <w:uiPriority w:val="1"/>
    <w:qFormat/>
    <w:rsid w:val="00843EA7"/>
    <w:pPr>
      <w:widowControl w:val="0"/>
      <w:autoSpaceDE w:val="0"/>
      <w:autoSpaceDN w:val="0"/>
      <w:spacing w:after="0"/>
      <w:ind w:left="100"/>
    </w:pPr>
    <w:rPr>
      <w:rFonts w:ascii="Calibri" w:eastAsia="Calibri" w:hAnsi="Calibri" w:cs="Calibri"/>
      <w:sz w:val="22"/>
      <w:szCs w:val="22"/>
      <w:lang w:bidi="en-US"/>
    </w:rPr>
  </w:style>
  <w:style w:type="table" w:styleId="MediumShading2-Accent2">
    <w:name w:val="Medium Shading 2 Accent 2"/>
    <w:basedOn w:val="TableNormal"/>
    <w:uiPriority w:val="69"/>
    <w:rsid w:val="00843EA7"/>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styleId="TOC4">
    <w:name w:val="toc 4"/>
    <w:basedOn w:val="Normal"/>
    <w:next w:val="Normal"/>
    <w:autoRedefine/>
    <w:rsid w:val="00B849F0"/>
    <w:pPr>
      <w:ind w:left="720"/>
    </w:pPr>
  </w:style>
  <w:style w:type="paragraph" w:styleId="TOC5">
    <w:name w:val="toc 5"/>
    <w:basedOn w:val="Normal"/>
    <w:next w:val="Normal"/>
    <w:autoRedefine/>
    <w:rsid w:val="00B849F0"/>
    <w:pPr>
      <w:ind w:left="960"/>
    </w:pPr>
  </w:style>
  <w:style w:type="paragraph" w:styleId="TOC6">
    <w:name w:val="toc 6"/>
    <w:basedOn w:val="Normal"/>
    <w:next w:val="Normal"/>
    <w:autoRedefine/>
    <w:rsid w:val="00B849F0"/>
    <w:pPr>
      <w:ind w:left="1200"/>
    </w:pPr>
  </w:style>
  <w:style w:type="paragraph" w:styleId="TOC7">
    <w:name w:val="toc 7"/>
    <w:basedOn w:val="Normal"/>
    <w:next w:val="Normal"/>
    <w:autoRedefine/>
    <w:rsid w:val="00B849F0"/>
    <w:pPr>
      <w:ind w:left="1440"/>
    </w:pPr>
  </w:style>
  <w:style w:type="paragraph" w:styleId="TOC8">
    <w:name w:val="toc 8"/>
    <w:basedOn w:val="Normal"/>
    <w:next w:val="Normal"/>
    <w:autoRedefine/>
    <w:rsid w:val="00B849F0"/>
    <w:pPr>
      <w:ind w:left="1680"/>
    </w:pPr>
  </w:style>
  <w:style w:type="paragraph" w:styleId="TOC9">
    <w:name w:val="toc 9"/>
    <w:basedOn w:val="Normal"/>
    <w:next w:val="Normal"/>
    <w:autoRedefine/>
    <w:rsid w:val="00B849F0"/>
    <w:pPr>
      <w:ind w:left="1920"/>
    </w:pPr>
  </w:style>
  <w:style w:type="table" w:styleId="TableGrid1">
    <w:name w:val="Table Grid 1"/>
    <w:basedOn w:val="TableNormal"/>
    <w:rsid w:val="00474E6B"/>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rmalWeb19">
    <w:name w:val="Normal (Web)19"/>
    <w:basedOn w:val="Normal"/>
    <w:rsid w:val="00D710F5"/>
    <w:pPr>
      <w:spacing w:before="100" w:beforeAutospacing="1" w:after="100" w:afterAutospacing="1"/>
    </w:pPr>
    <w:rPr>
      <w:rFonts w:ascii="Times New Roman" w:eastAsia="Times New Roman" w:hAnsi="Times New Roman"/>
    </w:rPr>
  </w:style>
  <w:style w:type="paragraph" w:customStyle="1" w:styleId="GridTable31">
    <w:name w:val="Grid Table 31"/>
    <w:basedOn w:val="Heading1"/>
    <w:next w:val="Normal"/>
    <w:uiPriority w:val="39"/>
    <w:unhideWhenUsed/>
    <w:qFormat/>
    <w:rsid w:val="00D710F5"/>
    <w:pPr>
      <w:keepLines/>
      <w:numPr>
        <w:numId w:val="0"/>
      </w:numPr>
      <w:spacing w:before="480" w:after="0" w:line="276" w:lineRule="auto"/>
      <w:outlineLvl w:val="9"/>
    </w:pPr>
    <w:rPr>
      <w:rFonts w:ascii="Calibri Light" w:hAnsi="Calibri Light"/>
      <w:bCs/>
      <w:color w:val="2E74B5"/>
      <w:kern w:val="0"/>
      <w:sz w:val="28"/>
      <w:szCs w:val="28"/>
    </w:rPr>
  </w:style>
  <w:style w:type="paragraph" w:styleId="TableofFigures">
    <w:name w:val="table of figures"/>
    <w:basedOn w:val="Normal"/>
    <w:next w:val="Normal"/>
    <w:uiPriority w:val="99"/>
    <w:rsid w:val="00D710F5"/>
    <w:pPr>
      <w:ind w:left="480" w:hanging="480"/>
    </w:pPr>
  </w:style>
  <w:style w:type="table" w:customStyle="1" w:styleId="SLRTable">
    <w:name w:val="SLR Table"/>
    <w:basedOn w:val="TableNormal"/>
    <w:rsid w:val="00D710F5"/>
    <w:rPr>
      <w:rFonts w:ascii="Calibri" w:eastAsia="Times New Roman" w:hAnsi="Calibri"/>
      <w:color w:val="A5A5A5"/>
    </w:rPr>
    <w:tblPr>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28" w:type="dxa"/>
        <w:bottom w:w="28" w:type="dxa"/>
      </w:tblCellMar>
    </w:tblPr>
    <w:tcPr>
      <w:shd w:val="clear" w:color="auto" w:fill="auto"/>
    </w:tcPr>
    <w:tblStylePr w:type="firstRow">
      <w:pPr>
        <w:wordWrap/>
        <w:spacing w:beforeLines="0" w:before="0" w:beforeAutospacing="0" w:afterLines="0" w:after="0" w:afterAutospacing="0" w:line="240" w:lineRule="auto"/>
      </w:pPr>
      <w:rPr>
        <w:color w:val="FFFFFF"/>
      </w:rPr>
      <w:tblPr/>
      <w:trPr>
        <w:tblHeader/>
      </w:trPr>
      <w:tcPr>
        <w:shd w:val="clear" w:color="auto" w:fill="538135"/>
      </w:tcPr>
    </w:tblStylePr>
  </w:style>
  <w:style w:type="character" w:styleId="FollowedHyperlink">
    <w:name w:val="FollowedHyperlink"/>
    <w:uiPriority w:val="99"/>
    <w:rsid w:val="00D710F5"/>
    <w:rPr>
      <w:color w:val="954F72"/>
      <w:u w:val="single"/>
    </w:rPr>
  </w:style>
  <w:style w:type="paragraph" w:styleId="BlockText">
    <w:name w:val="Block Text"/>
    <w:basedOn w:val="Normal"/>
    <w:rsid w:val="00D710F5"/>
    <w:pPr>
      <w:spacing w:after="120"/>
      <w:ind w:left="1440" w:right="1440"/>
    </w:pPr>
  </w:style>
  <w:style w:type="paragraph" w:styleId="CommentSubject">
    <w:name w:val="annotation subject"/>
    <w:basedOn w:val="CommentText"/>
    <w:next w:val="CommentText"/>
    <w:link w:val="CommentSubjectChar"/>
    <w:rsid w:val="00D710F5"/>
    <w:pPr>
      <w:spacing w:after="200"/>
    </w:pPr>
    <w:rPr>
      <w:rFonts w:ascii="Cambria" w:eastAsia="Cambria" w:hAnsi="Cambria"/>
      <w:b/>
      <w:bCs/>
    </w:rPr>
  </w:style>
  <w:style w:type="character" w:customStyle="1" w:styleId="CommentSubjectChar">
    <w:name w:val="Comment Subject Char"/>
    <w:basedOn w:val="CommentTextChar"/>
    <w:link w:val="CommentSubject"/>
    <w:rsid w:val="00D710F5"/>
    <w:rPr>
      <w:rFonts w:ascii="Times New Roman" w:eastAsia="Times New Roman" w:hAnsi="Times New Roman"/>
      <w:b/>
      <w:bCs/>
    </w:rPr>
  </w:style>
  <w:style w:type="paragraph" w:customStyle="1" w:styleId="paragraph">
    <w:name w:val="paragraph"/>
    <w:basedOn w:val="Normal"/>
    <w:rsid w:val="00D710F5"/>
    <w:pPr>
      <w:spacing w:before="100" w:beforeAutospacing="1" w:after="100" w:afterAutospacing="1"/>
    </w:pPr>
    <w:rPr>
      <w:rFonts w:ascii="Times New Roman" w:eastAsia="Times New Roman" w:hAnsi="Times New Roman"/>
    </w:rPr>
  </w:style>
  <w:style w:type="character" w:customStyle="1" w:styleId="normaltextrun">
    <w:name w:val="normaltextrun"/>
    <w:rsid w:val="00D710F5"/>
  </w:style>
  <w:style w:type="character" w:customStyle="1" w:styleId="eop">
    <w:name w:val="eop"/>
    <w:rsid w:val="00D710F5"/>
  </w:style>
  <w:style w:type="paragraph" w:styleId="Revision">
    <w:name w:val="Revision"/>
    <w:hidden/>
    <w:semiHidden/>
    <w:rsid w:val="00CF34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18515">
      <w:bodyDiv w:val="1"/>
      <w:marLeft w:val="0"/>
      <w:marRight w:val="0"/>
      <w:marTop w:val="0"/>
      <w:marBottom w:val="0"/>
      <w:divBdr>
        <w:top w:val="none" w:sz="0" w:space="0" w:color="auto"/>
        <w:left w:val="none" w:sz="0" w:space="0" w:color="auto"/>
        <w:bottom w:val="none" w:sz="0" w:space="0" w:color="auto"/>
        <w:right w:val="none" w:sz="0" w:space="0" w:color="auto"/>
      </w:divBdr>
    </w:div>
    <w:div w:id="438453001">
      <w:bodyDiv w:val="1"/>
      <w:marLeft w:val="0"/>
      <w:marRight w:val="0"/>
      <w:marTop w:val="0"/>
      <w:marBottom w:val="0"/>
      <w:divBdr>
        <w:top w:val="none" w:sz="0" w:space="0" w:color="auto"/>
        <w:left w:val="none" w:sz="0" w:space="0" w:color="auto"/>
        <w:bottom w:val="none" w:sz="0" w:space="0" w:color="auto"/>
        <w:right w:val="none" w:sz="0" w:space="0" w:color="auto"/>
      </w:divBdr>
      <w:divsChild>
        <w:div w:id="1549953399">
          <w:marLeft w:val="0"/>
          <w:marRight w:val="0"/>
          <w:marTop w:val="0"/>
          <w:marBottom w:val="0"/>
          <w:divBdr>
            <w:top w:val="none" w:sz="0" w:space="0" w:color="auto"/>
            <w:left w:val="none" w:sz="0" w:space="0" w:color="auto"/>
            <w:bottom w:val="none" w:sz="0" w:space="0" w:color="auto"/>
            <w:right w:val="none" w:sz="0" w:space="0" w:color="auto"/>
          </w:divBdr>
          <w:divsChild>
            <w:div w:id="1983000705">
              <w:marLeft w:val="0"/>
              <w:marRight w:val="0"/>
              <w:marTop w:val="0"/>
              <w:marBottom w:val="0"/>
              <w:divBdr>
                <w:top w:val="none" w:sz="0" w:space="0" w:color="auto"/>
                <w:left w:val="none" w:sz="0" w:space="0" w:color="auto"/>
                <w:bottom w:val="none" w:sz="0" w:space="0" w:color="auto"/>
                <w:right w:val="none" w:sz="0" w:space="0" w:color="auto"/>
              </w:divBdr>
              <w:divsChild>
                <w:div w:id="11522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466860">
      <w:bodyDiv w:val="1"/>
      <w:marLeft w:val="0"/>
      <w:marRight w:val="0"/>
      <w:marTop w:val="0"/>
      <w:marBottom w:val="0"/>
      <w:divBdr>
        <w:top w:val="none" w:sz="0" w:space="0" w:color="auto"/>
        <w:left w:val="none" w:sz="0" w:space="0" w:color="auto"/>
        <w:bottom w:val="none" w:sz="0" w:space="0" w:color="auto"/>
        <w:right w:val="none" w:sz="0" w:space="0" w:color="auto"/>
      </w:divBdr>
    </w:div>
    <w:div w:id="556471500">
      <w:bodyDiv w:val="1"/>
      <w:marLeft w:val="0"/>
      <w:marRight w:val="0"/>
      <w:marTop w:val="0"/>
      <w:marBottom w:val="0"/>
      <w:divBdr>
        <w:top w:val="none" w:sz="0" w:space="0" w:color="auto"/>
        <w:left w:val="none" w:sz="0" w:space="0" w:color="auto"/>
        <w:bottom w:val="none" w:sz="0" w:space="0" w:color="auto"/>
        <w:right w:val="none" w:sz="0" w:space="0" w:color="auto"/>
      </w:divBdr>
    </w:div>
    <w:div w:id="564923611">
      <w:bodyDiv w:val="1"/>
      <w:marLeft w:val="0"/>
      <w:marRight w:val="0"/>
      <w:marTop w:val="0"/>
      <w:marBottom w:val="0"/>
      <w:divBdr>
        <w:top w:val="none" w:sz="0" w:space="0" w:color="auto"/>
        <w:left w:val="none" w:sz="0" w:space="0" w:color="auto"/>
        <w:bottom w:val="none" w:sz="0" w:space="0" w:color="auto"/>
        <w:right w:val="none" w:sz="0" w:space="0" w:color="auto"/>
      </w:divBdr>
      <w:divsChild>
        <w:div w:id="898589944">
          <w:marLeft w:val="0"/>
          <w:marRight w:val="0"/>
          <w:marTop w:val="0"/>
          <w:marBottom w:val="0"/>
          <w:divBdr>
            <w:top w:val="none" w:sz="0" w:space="0" w:color="auto"/>
            <w:left w:val="none" w:sz="0" w:space="0" w:color="auto"/>
            <w:bottom w:val="none" w:sz="0" w:space="0" w:color="auto"/>
            <w:right w:val="none" w:sz="0" w:space="0" w:color="auto"/>
          </w:divBdr>
          <w:divsChild>
            <w:div w:id="1869442003">
              <w:marLeft w:val="0"/>
              <w:marRight w:val="0"/>
              <w:marTop w:val="0"/>
              <w:marBottom w:val="0"/>
              <w:divBdr>
                <w:top w:val="none" w:sz="0" w:space="0" w:color="auto"/>
                <w:left w:val="none" w:sz="0" w:space="0" w:color="auto"/>
                <w:bottom w:val="none" w:sz="0" w:space="0" w:color="auto"/>
                <w:right w:val="none" w:sz="0" w:space="0" w:color="auto"/>
              </w:divBdr>
              <w:divsChild>
                <w:div w:id="1823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4139">
      <w:bodyDiv w:val="1"/>
      <w:marLeft w:val="0"/>
      <w:marRight w:val="0"/>
      <w:marTop w:val="0"/>
      <w:marBottom w:val="0"/>
      <w:divBdr>
        <w:top w:val="none" w:sz="0" w:space="0" w:color="auto"/>
        <w:left w:val="none" w:sz="0" w:space="0" w:color="auto"/>
        <w:bottom w:val="none" w:sz="0" w:space="0" w:color="auto"/>
        <w:right w:val="none" w:sz="0" w:space="0" w:color="auto"/>
      </w:divBdr>
    </w:div>
    <w:div w:id="783233311">
      <w:bodyDiv w:val="1"/>
      <w:marLeft w:val="0"/>
      <w:marRight w:val="0"/>
      <w:marTop w:val="0"/>
      <w:marBottom w:val="0"/>
      <w:divBdr>
        <w:top w:val="none" w:sz="0" w:space="0" w:color="auto"/>
        <w:left w:val="none" w:sz="0" w:space="0" w:color="auto"/>
        <w:bottom w:val="none" w:sz="0" w:space="0" w:color="auto"/>
        <w:right w:val="none" w:sz="0" w:space="0" w:color="auto"/>
      </w:divBdr>
    </w:div>
    <w:div w:id="1031497648">
      <w:bodyDiv w:val="1"/>
      <w:marLeft w:val="0"/>
      <w:marRight w:val="0"/>
      <w:marTop w:val="0"/>
      <w:marBottom w:val="0"/>
      <w:divBdr>
        <w:top w:val="none" w:sz="0" w:space="0" w:color="auto"/>
        <w:left w:val="none" w:sz="0" w:space="0" w:color="auto"/>
        <w:bottom w:val="none" w:sz="0" w:space="0" w:color="auto"/>
        <w:right w:val="none" w:sz="0" w:space="0" w:color="auto"/>
      </w:divBdr>
      <w:divsChild>
        <w:div w:id="598298071">
          <w:marLeft w:val="0"/>
          <w:marRight w:val="0"/>
          <w:marTop w:val="0"/>
          <w:marBottom w:val="0"/>
          <w:divBdr>
            <w:top w:val="none" w:sz="0" w:space="0" w:color="auto"/>
            <w:left w:val="none" w:sz="0" w:space="0" w:color="auto"/>
            <w:bottom w:val="none" w:sz="0" w:space="0" w:color="auto"/>
            <w:right w:val="none" w:sz="0" w:space="0" w:color="auto"/>
          </w:divBdr>
          <w:divsChild>
            <w:div w:id="57746152">
              <w:marLeft w:val="0"/>
              <w:marRight w:val="0"/>
              <w:marTop w:val="0"/>
              <w:marBottom w:val="0"/>
              <w:divBdr>
                <w:top w:val="none" w:sz="0" w:space="0" w:color="auto"/>
                <w:left w:val="none" w:sz="0" w:space="0" w:color="auto"/>
                <w:bottom w:val="none" w:sz="0" w:space="0" w:color="auto"/>
                <w:right w:val="none" w:sz="0" w:space="0" w:color="auto"/>
              </w:divBdr>
              <w:divsChild>
                <w:div w:id="3546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22450">
      <w:bodyDiv w:val="1"/>
      <w:marLeft w:val="0"/>
      <w:marRight w:val="0"/>
      <w:marTop w:val="0"/>
      <w:marBottom w:val="0"/>
      <w:divBdr>
        <w:top w:val="none" w:sz="0" w:space="0" w:color="auto"/>
        <w:left w:val="none" w:sz="0" w:space="0" w:color="auto"/>
        <w:bottom w:val="none" w:sz="0" w:space="0" w:color="auto"/>
        <w:right w:val="none" w:sz="0" w:space="0" w:color="auto"/>
      </w:divBdr>
    </w:div>
    <w:div w:id="1354456396">
      <w:bodyDiv w:val="1"/>
      <w:marLeft w:val="0"/>
      <w:marRight w:val="0"/>
      <w:marTop w:val="0"/>
      <w:marBottom w:val="0"/>
      <w:divBdr>
        <w:top w:val="none" w:sz="0" w:space="0" w:color="auto"/>
        <w:left w:val="none" w:sz="0" w:space="0" w:color="auto"/>
        <w:bottom w:val="none" w:sz="0" w:space="0" w:color="auto"/>
        <w:right w:val="none" w:sz="0" w:space="0" w:color="auto"/>
      </w:divBdr>
    </w:div>
    <w:div w:id="1371763006">
      <w:bodyDiv w:val="1"/>
      <w:marLeft w:val="0"/>
      <w:marRight w:val="0"/>
      <w:marTop w:val="0"/>
      <w:marBottom w:val="0"/>
      <w:divBdr>
        <w:top w:val="none" w:sz="0" w:space="0" w:color="auto"/>
        <w:left w:val="none" w:sz="0" w:space="0" w:color="auto"/>
        <w:bottom w:val="none" w:sz="0" w:space="0" w:color="auto"/>
        <w:right w:val="none" w:sz="0" w:space="0" w:color="auto"/>
      </w:divBdr>
      <w:divsChild>
        <w:div w:id="1475751915">
          <w:marLeft w:val="0"/>
          <w:marRight w:val="0"/>
          <w:marTop w:val="0"/>
          <w:marBottom w:val="0"/>
          <w:divBdr>
            <w:top w:val="none" w:sz="0" w:space="0" w:color="auto"/>
            <w:left w:val="none" w:sz="0" w:space="0" w:color="auto"/>
            <w:bottom w:val="none" w:sz="0" w:space="0" w:color="auto"/>
            <w:right w:val="none" w:sz="0" w:space="0" w:color="auto"/>
          </w:divBdr>
          <w:divsChild>
            <w:div w:id="2102599808">
              <w:marLeft w:val="0"/>
              <w:marRight w:val="0"/>
              <w:marTop w:val="0"/>
              <w:marBottom w:val="0"/>
              <w:divBdr>
                <w:top w:val="none" w:sz="0" w:space="0" w:color="auto"/>
                <w:left w:val="none" w:sz="0" w:space="0" w:color="auto"/>
                <w:bottom w:val="none" w:sz="0" w:space="0" w:color="auto"/>
                <w:right w:val="none" w:sz="0" w:space="0" w:color="auto"/>
              </w:divBdr>
              <w:divsChild>
                <w:div w:id="6277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98176">
      <w:bodyDiv w:val="1"/>
      <w:marLeft w:val="0"/>
      <w:marRight w:val="0"/>
      <w:marTop w:val="0"/>
      <w:marBottom w:val="0"/>
      <w:divBdr>
        <w:top w:val="none" w:sz="0" w:space="0" w:color="auto"/>
        <w:left w:val="none" w:sz="0" w:space="0" w:color="auto"/>
        <w:bottom w:val="none" w:sz="0" w:space="0" w:color="auto"/>
        <w:right w:val="none" w:sz="0" w:space="0" w:color="auto"/>
      </w:divBdr>
      <w:divsChild>
        <w:div w:id="1825468359">
          <w:marLeft w:val="0"/>
          <w:marRight w:val="0"/>
          <w:marTop w:val="0"/>
          <w:marBottom w:val="0"/>
          <w:divBdr>
            <w:top w:val="none" w:sz="0" w:space="0" w:color="auto"/>
            <w:left w:val="none" w:sz="0" w:space="0" w:color="auto"/>
            <w:bottom w:val="none" w:sz="0" w:space="0" w:color="auto"/>
            <w:right w:val="none" w:sz="0" w:space="0" w:color="auto"/>
          </w:divBdr>
          <w:divsChild>
            <w:div w:id="1108357403">
              <w:marLeft w:val="0"/>
              <w:marRight w:val="0"/>
              <w:marTop w:val="0"/>
              <w:marBottom w:val="0"/>
              <w:divBdr>
                <w:top w:val="none" w:sz="0" w:space="0" w:color="auto"/>
                <w:left w:val="none" w:sz="0" w:space="0" w:color="auto"/>
                <w:bottom w:val="none" w:sz="0" w:space="0" w:color="auto"/>
                <w:right w:val="none" w:sz="0" w:space="0" w:color="auto"/>
              </w:divBdr>
              <w:divsChild>
                <w:div w:id="12877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96777">
      <w:bodyDiv w:val="1"/>
      <w:marLeft w:val="0"/>
      <w:marRight w:val="0"/>
      <w:marTop w:val="0"/>
      <w:marBottom w:val="0"/>
      <w:divBdr>
        <w:top w:val="none" w:sz="0" w:space="0" w:color="auto"/>
        <w:left w:val="none" w:sz="0" w:space="0" w:color="auto"/>
        <w:bottom w:val="none" w:sz="0" w:space="0" w:color="auto"/>
        <w:right w:val="none" w:sz="0" w:space="0" w:color="auto"/>
      </w:divBdr>
      <w:divsChild>
        <w:div w:id="1897088067">
          <w:marLeft w:val="0"/>
          <w:marRight w:val="0"/>
          <w:marTop w:val="0"/>
          <w:marBottom w:val="0"/>
          <w:divBdr>
            <w:top w:val="none" w:sz="0" w:space="0" w:color="auto"/>
            <w:left w:val="none" w:sz="0" w:space="0" w:color="auto"/>
            <w:bottom w:val="none" w:sz="0" w:space="0" w:color="auto"/>
            <w:right w:val="none" w:sz="0" w:space="0" w:color="auto"/>
          </w:divBdr>
          <w:divsChild>
            <w:div w:id="559630244">
              <w:marLeft w:val="0"/>
              <w:marRight w:val="0"/>
              <w:marTop w:val="0"/>
              <w:marBottom w:val="0"/>
              <w:divBdr>
                <w:top w:val="none" w:sz="0" w:space="0" w:color="auto"/>
                <w:left w:val="none" w:sz="0" w:space="0" w:color="auto"/>
                <w:bottom w:val="none" w:sz="0" w:space="0" w:color="auto"/>
                <w:right w:val="none" w:sz="0" w:space="0" w:color="auto"/>
              </w:divBdr>
              <w:divsChild>
                <w:div w:id="1312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360313">
      <w:bodyDiv w:val="1"/>
      <w:marLeft w:val="0"/>
      <w:marRight w:val="0"/>
      <w:marTop w:val="0"/>
      <w:marBottom w:val="0"/>
      <w:divBdr>
        <w:top w:val="none" w:sz="0" w:space="0" w:color="auto"/>
        <w:left w:val="none" w:sz="0" w:space="0" w:color="auto"/>
        <w:bottom w:val="none" w:sz="0" w:space="0" w:color="auto"/>
        <w:right w:val="none" w:sz="0" w:space="0" w:color="auto"/>
      </w:divBdr>
      <w:divsChild>
        <w:div w:id="949779117">
          <w:marLeft w:val="0"/>
          <w:marRight w:val="0"/>
          <w:marTop w:val="0"/>
          <w:marBottom w:val="0"/>
          <w:divBdr>
            <w:top w:val="none" w:sz="0" w:space="0" w:color="auto"/>
            <w:left w:val="none" w:sz="0" w:space="0" w:color="auto"/>
            <w:bottom w:val="none" w:sz="0" w:space="0" w:color="auto"/>
            <w:right w:val="none" w:sz="0" w:space="0" w:color="auto"/>
          </w:divBdr>
          <w:divsChild>
            <w:div w:id="2104910673">
              <w:marLeft w:val="0"/>
              <w:marRight w:val="0"/>
              <w:marTop w:val="0"/>
              <w:marBottom w:val="0"/>
              <w:divBdr>
                <w:top w:val="none" w:sz="0" w:space="0" w:color="auto"/>
                <w:left w:val="none" w:sz="0" w:space="0" w:color="auto"/>
                <w:bottom w:val="none" w:sz="0" w:space="0" w:color="auto"/>
                <w:right w:val="none" w:sz="0" w:space="0" w:color="auto"/>
              </w:divBdr>
              <w:divsChild>
                <w:div w:id="17090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25479">
      <w:bodyDiv w:val="1"/>
      <w:marLeft w:val="0"/>
      <w:marRight w:val="0"/>
      <w:marTop w:val="0"/>
      <w:marBottom w:val="0"/>
      <w:divBdr>
        <w:top w:val="none" w:sz="0" w:space="0" w:color="auto"/>
        <w:left w:val="none" w:sz="0" w:space="0" w:color="auto"/>
        <w:bottom w:val="none" w:sz="0" w:space="0" w:color="auto"/>
        <w:right w:val="none" w:sz="0" w:space="0" w:color="auto"/>
      </w:divBdr>
    </w:div>
    <w:div w:id="1643652616">
      <w:bodyDiv w:val="1"/>
      <w:marLeft w:val="0"/>
      <w:marRight w:val="0"/>
      <w:marTop w:val="0"/>
      <w:marBottom w:val="0"/>
      <w:divBdr>
        <w:top w:val="none" w:sz="0" w:space="0" w:color="auto"/>
        <w:left w:val="none" w:sz="0" w:space="0" w:color="auto"/>
        <w:bottom w:val="none" w:sz="0" w:space="0" w:color="auto"/>
        <w:right w:val="none" w:sz="0" w:space="0" w:color="auto"/>
      </w:divBdr>
    </w:div>
    <w:div w:id="1723138207">
      <w:bodyDiv w:val="1"/>
      <w:marLeft w:val="0"/>
      <w:marRight w:val="0"/>
      <w:marTop w:val="0"/>
      <w:marBottom w:val="0"/>
      <w:divBdr>
        <w:top w:val="none" w:sz="0" w:space="0" w:color="auto"/>
        <w:left w:val="none" w:sz="0" w:space="0" w:color="auto"/>
        <w:bottom w:val="none" w:sz="0" w:space="0" w:color="auto"/>
        <w:right w:val="none" w:sz="0" w:space="0" w:color="auto"/>
      </w:divBdr>
      <w:divsChild>
        <w:div w:id="2006205541">
          <w:marLeft w:val="0"/>
          <w:marRight w:val="0"/>
          <w:marTop w:val="0"/>
          <w:marBottom w:val="0"/>
          <w:divBdr>
            <w:top w:val="none" w:sz="0" w:space="0" w:color="auto"/>
            <w:left w:val="none" w:sz="0" w:space="0" w:color="auto"/>
            <w:bottom w:val="none" w:sz="0" w:space="0" w:color="auto"/>
            <w:right w:val="none" w:sz="0" w:space="0" w:color="auto"/>
          </w:divBdr>
          <w:divsChild>
            <w:div w:id="656884086">
              <w:marLeft w:val="0"/>
              <w:marRight w:val="0"/>
              <w:marTop w:val="0"/>
              <w:marBottom w:val="0"/>
              <w:divBdr>
                <w:top w:val="none" w:sz="0" w:space="0" w:color="auto"/>
                <w:left w:val="none" w:sz="0" w:space="0" w:color="auto"/>
                <w:bottom w:val="none" w:sz="0" w:space="0" w:color="auto"/>
                <w:right w:val="none" w:sz="0" w:space="0" w:color="auto"/>
              </w:divBdr>
              <w:divsChild>
                <w:div w:id="493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3437">
      <w:bodyDiv w:val="1"/>
      <w:marLeft w:val="0"/>
      <w:marRight w:val="0"/>
      <w:marTop w:val="0"/>
      <w:marBottom w:val="0"/>
      <w:divBdr>
        <w:top w:val="none" w:sz="0" w:space="0" w:color="auto"/>
        <w:left w:val="none" w:sz="0" w:space="0" w:color="auto"/>
        <w:bottom w:val="none" w:sz="0" w:space="0" w:color="auto"/>
        <w:right w:val="none" w:sz="0" w:space="0" w:color="auto"/>
      </w:divBdr>
      <w:divsChild>
        <w:div w:id="438724267">
          <w:marLeft w:val="547"/>
          <w:marRight w:val="0"/>
          <w:marTop w:val="0"/>
          <w:marBottom w:val="0"/>
          <w:divBdr>
            <w:top w:val="none" w:sz="0" w:space="0" w:color="auto"/>
            <w:left w:val="none" w:sz="0" w:space="0" w:color="auto"/>
            <w:bottom w:val="none" w:sz="0" w:space="0" w:color="auto"/>
            <w:right w:val="none" w:sz="0" w:space="0" w:color="auto"/>
          </w:divBdr>
        </w:div>
        <w:div w:id="1777481342">
          <w:marLeft w:val="547"/>
          <w:marRight w:val="0"/>
          <w:marTop w:val="0"/>
          <w:marBottom w:val="0"/>
          <w:divBdr>
            <w:top w:val="none" w:sz="0" w:space="0" w:color="auto"/>
            <w:left w:val="none" w:sz="0" w:space="0" w:color="auto"/>
            <w:bottom w:val="none" w:sz="0" w:space="0" w:color="auto"/>
            <w:right w:val="none" w:sz="0" w:space="0" w:color="auto"/>
          </w:divBdr>
        </w:div>
      </w:divsChild>
    </w:div>
    <w:div w:id="1951281712">
      <w:bodyDiv w:val="1"/>
      <w:marLeft w:val="0"/>
      <w:marRight w:val="0"/>
      <w:marTop w:val="0"/>
      <w:marBottom w:val="0"/>
      <w:divBdr>
        <w:top w:val="none" w:sz="0" w:space="0" w:color="auto"/>
        <w:left w:val="none" w:sz="0" w:space="0" w:color="auto"/>
        <w:bottom w:val="none" w:sz="0" w:space="0" w:color="auto"/>
        <w:right w:val="none" w:sz="0" w:space="0" w:color="auto"/>
      </w:divBdr>
      <w:divsChild>
        <w:div w:id="616258549">
          <w:marLeft w:val="0"/>
          <w:marRight w:val="0"/>
          <w:marTop w:val="0"/>
          <w:marBottom w:val="0"/>
          <w:divBdr>
            <w:top w:val="none" w:sz="0" w:space="0" w:color="auto"/>
            <w:left w:val="none" w:sz="0" w:space="0" w:color="auto"/>
            <w:bottom w:val="none" w:sz="0" w:space="0" w:color="auto"/>
            <w:right w:val="none" w:sz="0" w:space="0" w:color="auto"/>
          </w:divBdr>
          <w:divsChild>
            <w:div w:id="1402869239">
              <w:marLeft w:val="0"/>
              <w:marRight w:val="0"/>
              <w:marTop w:val="0"/>
              <w:marBottom w:val="0"/>
              <w:divBdr>
                <w:top w:val="none" w:sz="0" w:space="0" w:color="auto"/>
                <w:left w:val="none" w:sz="0" w:space="0" w:color="auto"/>
                <w:bottom w:val="none" w:sz="0" w:space="0" w:color="auto"/>
                <w:right w:val="none" w:sz="0" w:space="0" w:color="auto"/>
              </w:divBdr>
              <w:divsChild>
                <w:div w:id="13857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10230">
      <w:bodyDiv w:val="1"/>
      <w:marLeft w:val="0"/>
      <w:marRight w:val="0"/>
      <w:marTop w:val="0"/>
      <w:marBottom w:val="0"/>
      <w:divBdr>
        <w:top w:val="none" w:sz="0" w:space="0" w:color="auto"/>
        <w:left w:val="none" w:sz="0" w:space="0" w:color="auto"/>
        <w:bottom w:val="none" w:sz="0" w:space="0" w:color="auto"/>
        <w:right w:val="none" w:sz="0" w:space="0" w:color="auto"/>
      </w:divBdr>
      <w:divsChild>
        <w:div w:id="1988317286">
          <w:marLeft w:val="0"/>
          <w:marRight w:val="0"/>
          <w:marTop w:val="0"/>
          <w:marBottom w:val="0"/>
          <w:divBdr>
            <w:top w:val="none" w:sz="0" w:space="0" w:color="auto"/>
            <w:left w:val="none" w:sz="0" w:space="0" w:color="auto"/>
            <w:bottom w:val="none" w:sz="0" w:space="0" w:color="auto"/>
            <w:right w:val="none" w:sz="0" w:space="0" w:color="auto"/>
          </w:divBdr>
          <w:divsChild>
            <w:div w:id="1498114976">
              <w:marLeft w:val="0"/>
              <w:marRight w:val="0"/>
              <w:marTop w:val="0"/>
              <w:marBottom w:val="0"/>
              <w:divBdr>
                <w:top w:val="none" w:sz="0" w:space="0" w:color="auto"/>
                <w:left w:val="none" w:sz="0" w:space="0" w:color="auto"/>
                <w:bottom w:val="none" w:sz="0" w:space="0" w:color="auto"/>
                <w:right w:val="none" w:sz="0" w:space="0" w:color="auto"/>
              </w:divBdr>
              <w:divsChild>
                <w:div w:id="21292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27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7121db02bbc12a3f2a82dbeec9159cea">
  <xsd:schema xmlns:xsd="http://www.w3.org/2001/XMLSchema" xmlns:xs="http://www.w3.org/2001/XMLSchema" xmlns:p="http://schemas.microsoft.com/office/2006/metadata/properties" xmlns:ns3="eda4fd43-f936-4ced-9b4a-46c1ef7d5473" xmlns:ns4="aa3449fd-d373-417f-9c8d-cf261ce8b785" targetNamespace="http://schemas.microsoft.com/office/2006/metadata/properties" ma:root="true" ma:fieldsID="93b0cc0ea700ed314f478e1a9adb5445" ns3:_="" ns4:_="">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88F5F-A2ED-4DB6-B4FC-ECC4C42C7D64}">
  <ds:schemaRefs>
    <ds:schemaRef ds:uri="http://schemas.microsoft.com/sharepoint/v3/contenttype/forms"/>
  </ds:schemaRefs>
</ds:datastoreItem>
</file>

<file path=customXml/itemProps2.xml><?xml version="1.0" encoding="utf-8"?>
<ds:datastoreItem xmlns:ds="http://schemas.openxmlformats.org/officeDocument/2006/customXml" ds:itemID="{C3A0FD99-922E-49D5-AF2E-78344A3F9F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B275F7-CBC2-42E8-A8DE-7349270E9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A4405-A1FC-44F7-9402-C5CF2AC6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29</Pages>
  <Words>9340</Words>
  <Characters>53241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Safiya Aftab</dc:creator>
  <cp:keywords/>
  <cp:lastModifiedBy>Mishka Zaman</cp:lastModifiedBy>
  <cp:revision>85</cp:revision>
  <cp:lastPrinted>2017-07-13T22:15:00Z</cp:lastPrinted>
  <dcterms:created xsi:type="dcterms:W3CDTF">2020-06-05T21:35:00Z</dcterms:created>
  <dcterms:modified xsi:type="dcterms:W3CDTF">2020-06-15T08:26:00Z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