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1CFE3" w14:textId="77777777" w:rsidR="00D22FB5" w:rsidRDefault="00D22FB5" w:rsidP="00C05196"/>
    <w:p w14:paraId="51311C64" w14:textId="77777777" w:rsidR="006E4681" w:rsidRDefault="006E4681" w:rsidP="00C05196"/>
    <w:p w14:paraId="641B1BDE" w14:textId="77777777" w:rsidR="006E4681" w:rsidRDefault="00EB61E7" w:rsidP="00C05196">
      <w:r>
        <w:rPr>
          <w:noProof/>
        </w:rPr>
        <w:drawing>
          <wp:anchor distT="0" distB="0" distL="114300" distR="114300" simplePos="0" relativeHeight="251658240" behindDoc="0" locked="0" layoutInCell="1" allowOverlap="1" wp14:anchorId="4DB83935" wp14:editId="2F778497">
            <wp:simplePos x="0" y="0"/>
            <wp:positionH relativeFrom="column">
              <wp:posOffset>2286000</wp:posOffset>
            </wp:positionH>
            <wp:positionV relativeFrom="paragraph">
              <wp:posOffset>74295</wp:posOffset>
            </wp:positionV>
            <wp:extent cx="1175385" cy="1324610"/>
            <wp:effectExtent l="19050" t="0" r="5715" b="0"/>
            <wp:wrapSquare wrapText="bothSides"/>
            <wp:docPr id="2" name="Picture 1" descr="Description: Image result for ministry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ministry of commerce logo"/>
                    <pic:cNvPicPr>
                      <a:picLocks noChangeAspect="1" noChangeArrowheads="1"/>
                    </pic:cNvPicPr>
                  </pic:nvPicPr>
                  <pic:blipFill>
                    <a:blip r:embed="rId11"/>
                    <a:srcRect/>
                    <a:stretch>
                      <a:fillRect/>
                    </a:stretch>
                  </pic:blipFill>
                  <pic:spPr bwMode="auto">
                    <a:xfrm>
                      <a:off x="0" y="0"/>
                      <a:ext cx="1175385" cy="1324610"/>
                    </a:xfrm>
                    <a:prstGeom prst="rect">
                      <a:avLst/>
                    </a:prstGeom>
                    <a:noFill/>
                    <a:ln w="9525">
                      <a:noFill/>
                      <a:miter lim="800000"/>
                      <a:headEnd/>
                      <a:tailEnd/>
                    </a:ln>
                  </pic:spPr>
                </pic:pic>
              </a:graphicData>
            </a:graphic>
          </wp:anchor>
        </w:drawing>
      </w:r>
    </w:p>
    <w:p w14:paraId="7F08F0EE" w14:textId="77777777" w:rsidR="006E4681" w:rsidRDefault="006E4681" w:rsidP="00C05196"/>
    <w:p w14:paraId="150FE023" w14:textId="77777777" w:rsidR="006E4681" w:rsidRDefault="006E4681" w:rsidP="00C05196"/>
    <w:p w14:paraId="1D1653FE" w14:textId="77777777" w:rsidR="006E4681" w:rsidRDefault="006E4681" w:rsidP="006E4681">
      <w:pPr>
        <w:jc w:val="center"/>
        <w:rPr>
          <w:rFonts w:ascii="Arial" w:hAnsi="Arial"/>
          <w:b/>
          <w:bCs/>
          <w:sz w:val="28"/>
          <w:szCs w:val="28"/>
        </w:rPr>
      </w:pPr>
    </w:p>
    <w:p w14:paraId="7CA0F05E" w14:textId="77777777" w:rsidR="006E4681" w:rsidRDefault="006E4681" w:rsidP="006E4681">
      <w:pPr>
        <w:jc w:val="center"/>
        <w:rPr>
          <w:rFonts w:ascii="Arial" w:hAnsi="Arial"/>
          <w:b/>
          <w:bCs/>
          <w:sz w:val="28"/>
          <w:szCs w:val="28"/>
        </w:rPr>
      </w:pPr>
    </w:p>
    <w:p w14:paraId="45322FB9" w14:textId="77777777" w:rsidR="006E4681" w:rsidRDefault="006E4681" w:rsidP="006E4681">
      <w:pPr>
        <w:jc w:val="center"/>
        <w:rPr>
          <w:rFonts w:ascii="Arial" w:hAnsi="Arial"/>
          <w:b/>
          <w:bCs/>
          <w:sz w:val="28"/>
          <w:szCs w:val="28"/>
        </w:rPr>
      </w:pPr>
    </w:p>
    <w:p w14:paraId="315DA380" w14:textId="77777777" w:rsidR="006E4681" w:rsidRDefault="006E4681" w:rsidP="006E4681">
      <w:pPr>
        <w:jc w:val="center"/>
        <w:rPr>
          <w:rFonts w:ascii="Arial" w:hAnsi="Arial"/>
          <w:b/>
          <w:bCs/>
          <w:sz w:val="28"/>
          <w:szCs w:val="28"/>
        </w:rPr>
      </w:pPr>
    </w:p>
    <w:p w14:paraId="7056306D" w14:textId="77777777" w:rsidR="006E4681" w:rsidRDefault="006E4681" w:rsidP="006E4681">
      <w:pPr>
        <w:jc w:val="center"/>
        <w:rPr>
          <w:rFonts w:ascii="Arial" w:hAnsi="Arial"/>
          <w:b/>
          <w:bCs/>
          <w:sz w:val="28"/>
          <w:szCs w:val="28"/>
        </w:rPr>
      </w:pPr>
    </w:p>
    <w:p w14:paraId="358CB804" w14:textId="77777777" w:rsidR="006E4681" w:rsidRDefault="006E4681" w:rsidP="006E4681">
      <w:pPr>
        <w:jc w:val="center"/>
        <w:rPr>
          <w:rFonts w:ascii="Arial" w:hAnsi="Arial"/>
          <w:b/>
          <w:bCs/>
          <w:sz w:val="28"/>
          <w:szCs w:val="28"/>
        </w:rPr>
      </w:pPr>
    </w:p>
    <w:p w14:paraId="727C3303" w14:textId="0B01BCBE" w:rsidR="006E4681" w:rsidRDefault="00376BD0" w:rsidP="006E4681">
      <w:pPr>
        <w:jc w:val="center"/>
        <w:rPr>
          <w:rFonts w:ascii="Arial" w:hAnsi="Arial"/>
          <w:b/>
          <w:bCs/>
          <w:sz w:val="28"/>
          <w:szCs w:val="28"/>
        </w:rPr>
      </w:pPr>
      <w:r>
        <w:rPr>
          <w:rFonts w:ascii="Arial" w:hAnsi="Arial"/>
          <w:b/>
          <w:bCs/>
          <w:sz w:val="28"/>
          <w:szCs w:val="28"/>
        </w:rPr>
        <w:t xml:space="preserve">Labor Management </w:t>
      </w:r>
      <w:r w:rsidR="0017501B">
        <w:rPr>
          <w:rFonts w:ascii="Arial" w:hAnsi="Arial"/>
          <w:b/>
          <w:bCs/>
          <w:sz w:val="28"/>
          <w:szCs w:val="28"/>
        </w:rPr>
        <w:t>Procedures</w:t>
      </w:r>
    </w:p>
    <w:p w14:paraId="21BDF7D2" w14:textId="57C01249" w:rsidR="006E4681" w:rsidRDefault="006E4681" w:rsidP="006E4681">
      <w:pPr>
        <w:jc w:val="center"/>
        <w:rPr>
          <w:rFonts w:ascii="Arial" w:hAnsi="Arial"/>
          <w:b/>
          <w:bCs/>
          <w:sz w:val="22"/>
          <w:szCs w:val="22"/>
        </w:rPr>
      </w:pPr>
      <w:r w:rsidRPr="006E4681">
        <w:rPr>
          <w:rFonts w:ascii="Arial" w:hAnsi="Arial"/>
          <w:b/>
          <w:bCs/>
          <w:sz w:val="22"/>
          <w:szCs w:val="22"/>
        </w:rPr>
        <w:t>Pakistan Goes Global</w:t>
      </w:r>
      <w:r w:rsidR="0017501B">
        <w:rPr>
          <w:rFonts w:ascii="Arial" w:hAnsi="Arial"/>
          <w:b/>
          <w:bCs/>
          <w:sz w:val="22"/>
          <w:szCs w:val="22"/>
        </w:rPr>
        <w:t xml:space="preserve">:  </w:t>
      </w:r>
      <w:r w:rsidR="0017501B">
        <w:rPr>
          <w:rFonts w:ascii="Arial" w:hAnsi="Arial"/>
          <w:b/>
          <w:bCs/>
          <w:sz w:val="22"/>
          <w:szCs w:val="22"/>
          <w:lang w:val="en-GB"/>
        </w:rPr>
        <w:t>An Initiative for a Global and Technology Driven Pakistan</w:t>
      </w:r>
    </w:p>
    <w:p w14:paraId="0FD90557" w14:textId="77777777" w:rsidR="006E4681" w:rsidRDefault="006E4681" w:rsidP="006E4681">
      <w:pPr>
        <w:jc w:val="center"/>
        <w:rPr>
          <w:rFonts w:ascii="Arial" w:hAnsi="Arial"/>
          <w:b/>
          <w:bCs/>
          <w:sz w:val="22"/>
          <w:szCs w:val="22"/>
        </w:rPr>
      </w:pPr>
    </w:p>
    <w:p w14:paraId="13AE8A1D" w14:textId="77777777" w:rsidR="006E4681" w:rsidRDefault="006E4681" w:rsidP="006E4681">
      <w:pPr>
        <w:jc w:val="center"/>
        <w:rPr>
          <w:rFonts w:ascii="Arial" w:hAnsi="Arial"/>
          <w:b/>
          <w:bCs/>
          <w:sz w:val="22"/>
          <w:szCs w:val="22"/>
        </w:rPr>
      </w:pPr>
    </w:p>
    <w:p w14:paraId="29F53428" w14:textId="77777777" w:rsidR="006E4681" w:rsidRDefault="006E4681" w:rsidP="006E4681">
      <w:pPr>
        <w:jc w:val="center"/>
        <w:rPr>
          <w:rFonts w:ascii="Arial" w:hAnsi="Arial"/>
          <w:b/>
          <w:bCs/>
          <w:sz w:val="22"/>
          <w:szCs w:val="22"/>
        </w:rPr>
      </w:pPr>
    </w:p>
    <w:p w14:paraId="3EDEB028" w14:textId="77777777" w:rsidR="006E4681" w:rsidRDefault="006E4681" w:rsidP="006E4681">
      <w:pPr>
        <w:jc w:val="center"/>
        <w:rPr>
          <w:rFonts w:ascii="Arial" w:hAnsi="Arial"/>
          <w:b/>
          <w:bCs/>
          <w:sz w:val="22"/>
          <w:szCs w:val="22"/>
        </w:rPr>
      </w:pPr>
    </w:p>
    <w:p w14:paraId="0018CF45" w14:textId="77777777" w:rsidR="006E4681" w:rsidRDefault="006E4681" w:rsidP="006E4681">
      <w:pPr>
        <w:jc w:val="center"/>
        <w:rPr>
          <w:rFonts w:ascii="Arial" w:hAnsi="Arial"/>
          <w:b/>
          <w:bCs/>
          <w:sz w:val="22"/>
          <w:szCs w:val="22"/>
        </w:rPr>
      </w:pPr>
    </w:p>
    <w:p w14:paraId="52D42A49" w14:textId="77777777" w:rsidR="006E4681" w:rsidRDefault="006E4681" w:rsidP="006E4681">
      <w:pPr>
        <w:jc w:val="center"/>
        <w:rPr>
          <w:rFonts w:ascii="Arial" w:hAnsi="Arial"/>
          <w:b/>
          <w:bCs/>
          <w:sz w:val="22"/>
          <w:szCs w:val="22"/>
        </w:rPr>
      </w:pPr>
    </w:p>
    <w:p w14:paraId="30671068" w14:textId="77777777" w:rsidR="006E4681" w:rsidRDefault="006E4681" w:rsidP="006E4681">
      <w:pPr>
        <w:jc w:val="center"/>
        <w:rPr>
          <w:rFonts w:ascii="Arial" w:hAnsi="Arial"/>
          <w:b/>
          <w:bCs/>
          <w:sz w:val="22"/>
          <w:szCs w:val="22"/>
        </w:rPr>
      </w:pPr>
    </w:p>
    <w:p w14:paraId="7CED3DBE" w14:textId="77777777" w:rsidR="006E4681" w:rsidRDefault="006E4681" w:rsidP="006E4681">
      <w:pPr>
        <w:jc w:val="center"/>
        <w:rPr>
          <w:rFonts w:ascii="Arial" w:hAnsi="Arial"/>
          <w:b/>
          <w:bCs/>
          <w:sz w:val="22"/>
          <w:szCs w:val="22"/>
        </w:rPr>
      </w:pPr>
    </w:p>
    <w:p w14:paraId="3466ABAB" w14:textId="77777777" w:rsidR="006E4681" w:rsidRDefault="006E4681" w:rsidP="006E4681">
      <w:pPr>
        <w:jc w:val="center"/>
        <w:rPr>
          <w:rFonts w:ascii="Arial" w:hAnsi="Arial"/>
          <w:b/>
          <w:bCs/>
          <w:sz w:val="22"/>
          <w:szCs w:val="22"/>
        </w:rPr>
      </w:pPr>
    </w:p>
    <w:p w14:paraId="61D48C85" w14:textId="77777777" w:rsidR="006E4681" w:rsidRDefault="006E4681" w:rsidP="006E4681">
      <w:pPr>
        <w:jc w:val="center"/>
        <w:rPr>
          <w:rFonts w:ascii="Arial" w:hAnsi="Arial"/>
          <w:b/>
          <w:bCs/>
          <w:sz w:val="22"/>
          <w:szCs w:val="22"/>
        </w:rPr>
      </w:pPr>
    </w:p>
    <w:p w14:paraId="321FBC82" w14:textId="77777777" w:rsidR="006E4681" w:rsidRDefault="006E4681" w:rsidP="006E4681">
      <w:pPr>
        <w:jc w:val="center"/>
        <w:rPr>
          <w:rFonts w:ascii="Arial" w:hAnsi="Arial"/>
          <w:b/>
          <w:bCs/>
          <w:sz w:val="22"/>
          <w:szCs w:val="22"/>
        </w:rPr>
      </w:pPr>
    </w:p>
    <w:p w14:paraId="068F9A2D" w14:textId="77777777" w:rsidR="006E4681" w:rsidRDefault="006E4681" w:rsidP="006E4681">
      <w:pPr>
        <w:jc w:val="center"/>
        <w:rPr>
          <w:rFonts w:ascii="Arial" w:hAnsi="Arial"/>
          <w:b/>
          <w:bCs/>
          <w:sz w:val="22"/>
          <w:szCs w:val="22"/>
        </w:rPr>
      </w:pPr>
    </w:p>
    <w:p w14:paraId="4E1A66BF" w14:textId="73C31E46" w:rsidR="006E4681" w:rsidRDefault="00F03234" w:rsidP="006E4681">
      <w:pPr>
        <w:jc w:val="center"/>
        <w:rPr>
          <w:rFonts w:ascii="Arial" w:hAnsi="Arial"/>
          <w:b/>
          <w:bCs/>
          <w:sz w:val="22"/>
          <w:szCs w:val="22"/>
        </w:rPr>
      </w:pPr>
      <w:r>
        <w:rPr>
          <w:rFonts w:ascii="Arial" w:hAnsi="Arial"/>
          <w:b/>
          <w:bCs/>
          <w:sz w:val="22"/>
          <w:szCs w:val="22"/>
        </w:rPr>
        <w:t xml:space="preserve">June </w:t>
      </w:r>
      <w:r w:rsidR="00D846E8">
        <w:rPr>
          <w:rFonts w:ascii="Arial" w:hAnsi="Arial"/>
          <w:b/>
          <w:bCs/>
          <w:sz w:val="22"/>
          <w:szCs w:val="22"/>
        </w:rPr>
        <w:t>1</w:t>
      </w:r>
      <w:r w:rsidR="00204DE4">
        <w:rPr>
          <w:rFonts w:ascii="Arial" w:hAnsi="Arial"/>
          <w:b/>
          <w:bCs/>
          <w:sz w:val="22"/>
          <w:szCs w:val="22"/>
        </w:rPr>
        <w:t>5</w:t>
      </w:r>
      <w:r w:rsidR="00BE096A">
        <w:rPr>
          <w:rFonts w:ascii="Arial" w:hAnsi="Arial"/>
          <w:b/>
          <w:bCs/>
          <w:sz w:val="22"/>
          <w:szCs w:val="22"/>
        </w:rPr>
        <w:t>,</w:t>
      </w:r>
      <w:r w:rsidR="00F93791">
        <w:rPr>
          <w:rFonts w:ascii="Arial" w:hAnsi="Arial"/>
          <w:b/>
          <w:bCs/>
          <w:sz w:val="22"/>
          <w:szCs w:val="22"/>
        </w:rPr>
        <w:t xml:space="preserve"> 2020</w:t>
      </w:r>
    </w:p>
    <w:p w14:paraId="65E48247" w14:textId="77777777" w:rsidR="006E4681" w:rsidRDefault="006E4681" w:rsidP="006E4681">
      <w:pPr>
        <w:jc w:val="center"/>
        <w:rPr>
          <w:rFonts w:ascii="Arial" w:hAnsi="Arial"/>
          <w:b/>
          <w:bCs/>
          <w:sz w:val="22"/>
          <w:szCs w:val="22"/>
        </w:rPr>
        <w:sectPr w:rsidR="006E4681" w:rsidSect="002C5DA5">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pPr>
    </w:p>
    <w:p w14:paraId="0A66D648" w14:textId="77777777" w:rsidR="006E4681" w:rsidRDefault="006E4681" w:rsidP="006E4681">
      <w:pPr>
        <w:rPr>
          <w:rFonts w:ascii="Arial" w:hAnsi="Arial"/>
          <w:b/>
          <w:bCs/>
        </w:rPr>
      </w:pPr>
      <w:r w:rsidRPr="006E4681">
        <w:rPr>
          <w:rFonts w:ascii="Arial" w:hAnsi="Arial"/>
          <w:b/>
          <w:bCs/>
        </w:rPr>
        <w:lastRenderedPageBreak/>
        <w:t>Table of Contents</w:t>
      </w:r>
    </w:p>
    <w:p w14:paraId="285BD280" w14:textId="4E22F47E" w:rsidR="00204DE4" w:rsidRDefault="00FF4E42">
      <w:pPr>
        <w:pStyle w:val="TOC1"/>
        <w:tabs>
          <w:tab w:val="left" w:pos="480"/>
          <w:tab w:val="right" w:leader="dot" w:pos="8630"/>
        </w:tabs>
        <w:rPr>
          <w:rFonts w:asciiTheme="minorHAnsi" w:eastAsiaTheme="minorEastAsia" w:hAnsiTheme="minorHAnsi" w:cstheme="minorBidi"/>
          <w:noProof/>
          <w:sz w:val="22"/>
          <w:szCs w:val="22"/>
        </w:rPr>
      </w:pPr>
      <w:r>
        <w:rPr>
          <w:rFonts w:ascii="Arial" w:hAnsi="Arial"/>
          <w:b/>
          <w:bCs/>
        </w:rPr>
        <w:fldChar w:fldCharType="begin"/>
      </w:r>
      <w:r w:rsidR="00B849F0">
        <w:rPr>
          <w:rFonts w:ascii="Arial" w:hAnsi="Arial"/>
          <w:b/>
          <w:bCs/>
        </w:rPr>
        <w:instrText xml:space="preserve"> TOC \t "Heading 1,1,Heading 2,2,Heading 3,3" </w:instrText>
      </w:r>
      <w:r>
        <w:rPr>
          <w:rFonts w:ascii="Arial" w:hAnsi="Arial"/>
          <w:b/>
          <w:bCs/>
        </w:rPr>
        <w:fldChar w:fldCharType="separate"/>
      </w:r>
      <w:r w:rsidR="00204DE4">
        <w:rPr>
          <w:noProof/>
        </w:rPr>
        <w:t>1.</w:t>
      </w:r>
      <w:r w:rsidR="00204DE4">
        <w:rPr>
          <w:rFonts w:asciiTheme="minorHAnsi" w:eastAsiaTheme="minorEastAsia" w:hAnsiTheme="minorHAnsi" w:cstheme="minorBidi"/>
          <w:noProof/>
          <w:sz w:val="22"/>
          <w:szCs w:val="22"/>
        </w:rPr>
        <w:tab/>
      </w:r>
      <w:r w:rsidR="00204DE4">
        <w:rPr>
          <w:noProof/>
        </w:rPr>
        <w:t>Introduction</w:t>
      </w:r>
      <w:r w:rsidR="00204DE4">
        <w:rPr>
          <w:noProof/>
        </w:rPr>
        <w:tab/>
      </w:r>
      <w:r w:rsidR="00204DE4">
        <w:rPr>
          <w:noProof/>
        </w:rPr>
        <w:fldChar w:fldCharType="begin"/>
      </w:r>
      <w:r w:rsidR="00204DE4">
        <w:rPr>
          <w:noProof/>
        </w:rPr>
        <w:instrText xml:space="preserve"> PAGEREF _Toc43117832 \h </w:instrText>
      </w:r>
      <w:r w:rsidR="00204DE4">
        <w:rPr>
          <w:noProof/>
        </w:rPr>
      </w:r>
      <w:r w:rsidR="00204DE4">
        <w:rPr>
          <w:noProof/>
        </w:rPr>
        <w:fldChar w:fldCharType="separate"/>
      </w:r>
      <w:r w:rsidR="00204DE4">
        <w:rPr>
          <w:noProof/>
        </w:rPr>
        <w:t>1</w:t>
      </w:r>
      <w:r w:rsidR="00204DE4">
        <w:rPr>
          <w:noProof/>
        </w:rPr>
        <w:fldChar w:fldCharType="end"/>
      </w:r>
    </w:p>
    <w:p w14:paraId="65A734D1" w14:textId="38E762E5" w:rsidR="00204DE4" w:rsidRDefault="00204DE4">
      <w:pPr>
        <w:pStyle w:val="TOC2"/>
        <w:tabs>
          <w:tab w:val="left" w:pos="960"/>
          <w:tab w:val="right" w:leader="dot" w:pos="863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Overview of Existing Labor in the Implementing Agencies</w:t>
      </w:r>
      <w:r>
        <w:rPr>
          <w:noProof/>
        </w:rPr>
        <w:tab/>
      </w:r>
      <w:r>
        <w:rPr>
          <w:noProof/>
        </w:rPr>
        <w:fldChar w:fldCharType="begin"/>
      </w:r>
      <w:r>
        <w:rPr>
          <w:noProof/>
        </w:rPr>
        <w:instrText xml:space="preserve"> PAGEREF _Toc43117833 \h </w:instrText>
      </w:r>
      <w:r>
        <w:rPr>
          <w:noProof/>
        </w:rPr>
      </w:r>
      <w:r>
        <w:rPr>
          <w:noProof/>
        </w:rPr>
        <w:fldChar w:fldCharType="separate"/>
      </w:r>
      <w:r>
        <w:rPr>
          <w:noProof/>
        </w:rPr>
        <w:t>1</w:t>
      </w:r>
      <w:r>
        <w:rPr>
          <w:noProof/>
        </w:rPr>
        <w:fldChar w:fldCharType="end"/>
      </w:r>
    </w:p>
    <w:p w14:paraId="5AA2183B" w14:textId="081050DD" w:rsidR="00204DE4" w:rsidRDefault="00204DE4">
      <w:pPr>
        <w:pStyle w:val="TOC1"/>
        <w:tabs>
          <w:tab w:val="left" w:pos="480"/>
          <w:tab w:val="right" w:leader="dot" w:pos="863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Assessment of Key Potential Labor Risks</w:t>
      </w:r>
      <w:r>
        <w:rPr>
          <w:noProof/>
        </w:rPr>
        <w:tab/>
      </w:r>
      <w:r>
        <w:rPr>
          <w:noProof/>
        </w:rPr>
        <w:fldChar w:fldCharType="begin"/>
      </w:r>
      <w:r>
        <w:rPr>
          <w:noProof/>
        </w:rPr>
        <w:instrText xml:space="preserve"> PAGEREF _Toc43117834 \h </w:instrText>
      </w:r>
      <w:r>
        <w:rPr>
          <w:noProof/>
        </w:rPr>
      </w:r>
      <w:r>
        <w:rPr>
          <w:noProof/>
        </w:rPr>
        <w:fldChar w:fldCharType="separate"/>
      </w:r>
      <w:r>
        <w:rPr>
          <w:noProof/>
        </w:rPr>
        <w:t>3</w:t>
      </w:r>
      <w:r>
        <w:rPr>
          <w:noProof/>
        </w:rPr>
        <w:fldChar w:fldCharType="end"/>
      </w:r>
    </w:p>
    <w:p w14:paraId="17887544" w14:textId="753D7475" w:rsidR="00204DE4" w:rsidRDefault="00204DE4">
      <w:pPr>
        <w:pStyle w:val="TOC1"/>
        <w:tabs>
          <w:tab w:val="left" w:pos="480"/>
          <w:tab w:val="right" w:leader="dot" w:pos="863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Brief Overview Of Labor Legislation: Terms And Conditions</w:t>
      </w:r>
      <w:r>
        <w:rPr>
          <w:noProof/>
        </w:rPr>
        <w:tab/>
      </w:r>
      <w:r>
        <w:rPr>
          <w:noProof/>
        </w:rPr>
        <w:fldChar w:fldCharType="begin"/>
      </w:r>
      <w:r>
        <w:rPr>
          <w:noProof/>
        </w:rPr>
        <w:instrText xml:space="preserve"> PAGEREF _Toc43117835 \h </w:instrText>
      </w:r>
      <w:r>
        <w:rPr>
          <w:noProof/>
        </w:rPr>
      </w:r>
      <w:r>
        <w:rPr>
          <w:noProof/>
        </w:rPr>
        <w:fldChar w:fldCharType="separate"/>
      </w:r>
      <w:r>
        <w:rPr>
          <w:noProof/>
        </w:rPr>
        <w:t>4</w:t>
      </w:r>
      <w:r>
        <w:rPr>
          <w:noProof/>
        </w:rPr>
        <w:fldChar w:fldCharType="end"/>
      </w:r>
    </w:p>
    <w:p w14:paraId="69075F68" w14:textId="38D47B03" w:rsidR="00204DE4" w:rsidRDefault="00204DE4">
      <w:pPr>
        <w:pStyle w:val="TOC1"/>
        <w:tabs>
          <w:tab w:val="left" w:pos="480"/>
          <w:tab w:val="right" w:leader="dot" w:pos="863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Brief Overview Of Labor Legislation: Occupational Health And Safety (OHS)</w:t>
      </w:r>
      <w:r>
        <w:rPr>
          <w:noProof/>
        </w:rPr>
        <w:tab/>
      </w:r>
      <w:r>
        <w:rPr>
          <w:noProof/>
        </w:rPr>
        <w:fldChar w:fldCharType="begin"/>
      </w:r>
      <w:r>
        <w:rPr>
          <w:noProof/>
        </w:rPr>
        <w:instrText xml:space="preserve"> PAGEREF _Toc43117836 \h </w:instrText>
      </w:r>
      <w:r>
        <w:rPr>
          <w:noProof/>
        </w:rPr>
      </w:r>
      <w:r>
        <w:rPr>
          <w:noProof/>
        </w:rPr>
        <w:fldChar w:fldCharType="separate"/>
      </w:r>
      <w:r>
        <w:rPr>
          <w:noProof/>
        </w:rPr>
        <w:t>5</w:t>
      </w:r>
      <w:r>
        <w:rPr>
          <w:noProof/>
        </w:rPr>
        <w:fldChar w:fldCharType="end"/>
      </w:r>
    </w:p>
    <w:p w14:paraId="5AE41157" w14:textId="63E327FE" w:rsidR="00204DE4" w:rsidRDefault="00204DE4">
      <w:pPr>
        <w:pStyle w:val="TOC1"/>
        <w:tabs>
          <w:tab w:val="left" w:pos="480"/>
          <w:tab w:val="right" w:leader="dot" w:pos="863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Responsible Staff</w:t>
      </w:r>
      <w:r>
        <w:rPr>
          <w:noProof/>
        </w:rPr>
        <w:tab/>
      </w:r>
      <w:r>
        <w:rPr>
          <w:noProof/>
        </w:rPr>
        <w:fldChar w:fldCharType="begin"/>
      </w:r>
      <w:r>
        <w:rPr>
          <w:noProof/>
        </w:rPr>
        <w:instrText xml:space="preserve"> PAGEREF _Toc43117837 \h </w:instrText>
      </w:r>
      <w:r>
        <w:rPr>
          <w:noProof/>
        </w:rPr>
      </w:r>
      <w:r>
        <w:rPr>
          <w:noProof/>
        </w:rPr>
        <w:fldChar w:fldCharType="separate"/>
      </w:r>
      <w:r>
        <w:rPr>
          <w:noProof/>
        </w:rPr>
        <w:t>7</w:t>
      </w:r>
      <w:r>
        <w:rPr>
          <w:noProof/>
        </w:rPr>
        <w:fldChar w:fldCharType="end"/>
      </w:r>
    </w:p>
    <w:p w14:paraId="7A7A1A68" w14:textId="1C93E0DC" w:rsidR="00204DE4" w:rsidRDefault="00204DE4">
      <w:pPr>
        <w:pStyle w:val="TOC2"/>
        <w:tabs>
          <w:tab w:val="left" w:pos="960"/>
          <w:tab w:val="right" w:leader="dot" w:pos="8630"/>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Policies And Procedures</w:t>
      </w:r>
      <w:r>
        <w:rPr>
          <w:noProof/>
        </w:rPr>
        <w:tab/>
      </w:r>
      <w:r>
        <w:rPr>
          <w:noProof/>
        </w:rPr>
        <w:fldChar w:fldCharType="begin"/>
      </w:r>
      <w:r>
        <w:rPr>
          <w:noProof/>
        </w:rPr>
        <w:instrText xml:space="preserve"> PAGEREF _Toc43117838 \h </w:instrText>
      </w:r>
      <w:r>
        <w:rPr>
          <w:noProof/>
        </w:rPr>
      </w:r>
      <w:r>
        <w:rPr>
          <w:noProof/>
        </w:rPr>
        <w:fldChar w:fldCharType="separate"/>
      </w:r>
      <w:r>
        <w:rPr>
          <w:noProof/>
        </w:rPr>
        <w:t>7</w:t>
      </w:r>
      <w:r>
        <w:rPr>
          <w:noProof/>
        </w:rPr>
        <w:fldChar w:fldCharType="end"/>
      </w:r>
    </w:p>
    <w:p w14:paraId="395405E3" w14:textId="49DED4EE" w:rsidR="00204DE4" w:rsidRDefault="00204DE4">
      <w:pPr>
        <w:pStyle w:val="TOC2"/>
        <w:tabs>
          <w:tab w:val="left" w:pos="960"/>
          <w:tab w:val="right" w:leader="dot" w:pos="8630"/>
        </w:tabs>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Age Of Employment</w:t>
      </w:r>
      <w:r>
        <w:rPr>
          <w:noProof/>
        </w:rPr>
        <w:tab/>
      </w:r>
      <w:r>
        <w:rPr>
          <w:noProof/>
        </w:rPr>
        <w:fldChar w:fldCharType="begin"/>
      </w:r>
      <w:r>
        <w:rPr>
          <w:noProof/>
        </w:rPr>
        <w:instrText xml:space="preserve"> PAGEREF _Toc43117839 \h </w:instrText>
      </w:r>
      <w:r>
        <w:rPr>
          <w:noProof/>
        </w:rPr>
      </w:r>
      <w:r>
        <w:rPr>
          <w:noProof/>
        </w:rPr>
        <w:fldChar w:fldCharType="separate"/>
      </w:r>
      <w:r>
        <w:rPr>
          <w:noProof/>
        </w:rPr>
        <w:t>7</w:t>
      </w:r>
      <w:r>
        <w:rPr>
          <w:noProof/>
        </w:rPr>
        <w:fldChar w:fldCharType="end"/>
      </w:r>
    </w:p>
    <w:p w14:paraId="6772A3EA" w14:textId="36EDDA06" w:rsidR="00204DE4" w:rsidRDefault="00204DE4">
      <w:pPr>
        <w:pStyle w:val="TOC2"/>
        <w:tabs>
          <w:tab w:val="left" w:pos="960"/>
          <w:tab w:val="right" w:leader="dot" w:pos="8630"/>
        </w:tabs>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Terms And Conditions</w:t>
      </w:r>
      <w:r>
        <w:rPr>
          <w:noProof/>
        </w:rPr>
        <w:tab/>
      </w:r>
      <w:r>
        <w:rPr>
          <w:noProof/>
        </w:rPr>
        <w:fldChar w:fldCharType="begin"/>
      </w:r>
      <w:r>
        <w:rPr>
          <w:noProof/>
        </w:rPr>
        <w:instrText xml:space="preserve"> PAGEREF _Toc43117840 \h </w:instrText>
      </w:r>
      <w:r>
        <w:rPr>
          <w:noProof/>
        </w:rPr>
      </w:r>
      <w:r>
        <w:rPr>
          <w:noProof/>
        </w:rPr>
        <w:fldChar w:fldCharType="separate"/>
      </w:r>
      <w:r>
        <w:rPr>
          <w:noProof/>
        </w:rPr>
        <w:t>7</w:t>
      </w:r>
      <w:r>
        <w:rPr>
          <w:noProof/>
        </w:rPr>
        <w:fldChar w:fldCharType="end"/>
      </w:r>
    </w:p>
    <w:p w14:paraId="340728AB" w14:textId="09238D2F" w:rsidR="00204DE4" w:rsidRDefault="00204DE4">
      <w:pPr>
        <w:pStyle w:val="TOC1"/>
        <w:tabs>
          <w:tab w:val="left" w:pos="480"/>
          <w:tab w:val="right" w:leader="dot" w:pos="863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Grievance Redress Mechanism</w:t>
      </w:r>
      <w:r>
        <w:rPr>
          <w:noProof/>
        </w:rPr>
        <w:tab/>
      </w:r>
      <w:r>
        <w:rPr>
          <w:noProof/>
        </w:rPr>
        <w:fldChar w:fldCharType="begin"/>
      </w:r>
      <w:r>
        <w:rPr>
          <w:noProof/>
        </w:rPr>
        <w:instrText xml:space="preserve"> PAGEREF _Toc43117841 \h </w:instrText>
      </w:r>
      <w:r>
        <w:rPr>
          <w:noProof/>
        </w:rPr>
      </w:r>
      <w:r>
        <w:rPr>
          <w:noProof/>
        </w:rPr>
        <w:fldChar w:fldCharType="separate"/>
      </w:r>
      <w:r>
        <w:rPr>
          <w:noProof/>
        </w:rPr>
        <w:t>8</w:t>
      </w:r>
      <w:r>
        <w:rPr>
          <w:noProof/>
        </w:rPr>
        <w:fldChar w:fldCharType="end"/>
      </w:r>
    </w:p>
    <w:p w14:paraId="11AFE7BD" w14:textId="0035AD7D" w:rsidR="00204DE4" w:rsidRDefault="00204DE4">
      <w:pPr>
        <w:pStyle w:val="TOC1"/>
        <w:tabs>
          <w:tab w:val="left" w:pos="480"/>
          <w:tab w:val="right" w:leader="dot" w:pos="863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Contractor Management</w:t>
      </w:r>
      <w:r>
        <w:rPr>
          <w:noProof/>
        </w:rPr>
        <w:tab/>
      </w:r>
      <w:r>
        <w:rPr>
          <w:noProof/>
        </w:rPr>
        <w:fldChar w:fldCharType="begin"/>
      </w:r>
      <w:r>
        <w:rPr>
          <w:noProof/>
        </w:rPr>
        <w:instrText xml:space="preserve"> PAGEREF _Toc43117842 \h </w:instrText>
      </w:r>
      <w:r>
        <w:rPr>
          <w:noProof/>
        </w:rPr>
      </w:r>
      <w:r>
        <w:rPr>
          <w:noProof/>
        </w:rPr>
        <w:fldChar w:fldCharType="separate"/>
      </w:r>
      <w:r>
        <w:rPr>
          <w:noProof/>
        </w:rPr>
        <w:t>9</w:t>
      </w:r>
      <w:r>
        <w:rPr>
          <w:noProof/>
        </w:rPr>
        <w:fldChar w:fldCharType="end"/>
      </w:r>
    </w:p>
    <w:p w14:paraId="2459F94E" w14:textId="702609DE" w:rsidR="00204DE4" w:rsidRDefault="00204DE4">
      <w:pPr>
        <w:pStyle w:val="TOC1"/>
        <w:tabs>
          <w:tab w:val="left" w:pos="480"/>
          <w:tab w:val="right" w:leader="dot" w:pos="8630"/>
        </w:tabs>
        <w:rPr>
          <w:rFonts w:asciiTheme="minorHAnsi" w:eastAsiaTheme="minorEastAsia" w:hAnsiTheme="minorHAnsi" w:cstheme="minorBidi"/>
          <w:noProof/>
          <w:sz w:val="22"/>
          <w:szCs w:val="22"/>
        </w:rPr>
      </w:pPr>
      <w:r w:rsidRPr="00CD43B1">
        <w:rPr>
          <w:noProof/>
          <w:lang w:val="en-GB"/>
        </w:rPr>
        <w:t>8.</w:t>
      </w:r>
      <w:r>
        <w:rPr>
          <w:rFonts w:asciiTheme="minorHAnsi" w:eastAsiaTheme="minorEastAsia" w:hAnsiTheme="minorHAnsi" w:cstheme="minorBidi"/>
          <w:noProof/>
          <w:sz w:val="22"/>
          <w:szCs w:val="22"/>
        </w:rPr>
        <w:tab/>
      </w:r>
      <w:r>
        <w:rPr>
          <w:noProof/>
        </w:rPr>
        <w:t>Community Workers</w:t>
      </w:r>
      <w:r>
        <w:rPr>
          <w:noProof/>
        </w:rPr>
        <w:tab/>
      </w:r>
      <w:r>
        <w:rPr>
          <w:noProof/>
        </w:rPr>
        <w:fldChar w:fldCharType="begin"/>
      </w:r>
      <w:r>
        <w:rPr>
          <w:noProof/>
        </w:rPr>
        <w:instrText xml:space="preserve"> PAGEREF _Toc43117843 \h </w:instrText>
      </w:r>
      <w:r>
        <w:rPr>
          <w:noProof/>
        </w:rPr>
      </w:r>
      <w:r>
        <w:rPr>
          <w:noProof/>
        </w:rPr>
        <w:fldChar w:fldCharType="separate"/>
      </w:r>
      <w:r>
        <w:rPr>
          <w:noProof/>
        </w:rPr>
        <w:t>9</w:t>
      </w:r>
      <w:r>
        <w:rPr>
          <w:noProof/>
        </w:rPr>
        <w:fldChar w:fldCharType="end"/>
      </w:r>
    </w:p>
    <w:p w14:paraId="2ABDEF4B" w14:textId="5DA8A6B1" w:rsidR="00204DE4" w:rsidRDefault="00204DE4">
      <w:pPr>
        <w:pStyle w:val="TOC1"/>
        <w:tabs>
          <w:tab w:val="left" w:pos="480"/>
          <w:tab w:val="right" w:leader="dot" w:pos="8630"/>
        </w:tabs>
        <w:rPr>
          <w:rFonts w:asciiTheme="minorHAnsi" w:eastAsiaTheme="minorEastAsia" w:hAnsiTheme="minorHAnsi" w:cstheme="minorBidi"/>
          <w:noProof/>
          <w:sz w:val="22"/>
          <w:szCs w:val="22"/>
        </w:rPr>
      </w:pPr>
      <w:r w:rsidRPr="00CD43B1">
        <w:rPr>
          <w:noProof/>
          <w:lang w:val="en-GB"/>
        </w:rPr>
        <w:t>9.</w:t>
      </w:r>
      <w:r>
        <w:rPr>
          <w:rFonts w:asciiTheme="minorHAnsi" w:eastAsiaTheme="minorEastAsia" w:hAnsiTheme="minorHAnsi" w:cstheme="minorBidi"/>
          <w:noProof/>
          <w:sz w:val="22"/>
          <w:szCs w:val="22"/>
        </w:rPr>
        <w:tab/>
      </w:r>
      <w:r>
        <w:rPr>
          <w:noProof/>
        </w:rPr>
        <w:t>Primary Supply Workers</w:t>
      </w:r>
      <w:r>
        <w:rPr>
          <w:noProof/>
        </w:rPr>
        <w:tab/>
      </w:r>
      <w:r>
        <w:rPr>
          <w:noProof/>
        </w:rPr>
        <w:fldChar w:fldCharType="begin"/>
      </w:r>
      <w:r>
        <w:rPr>
          <w:noProof/>
        </w:rPr>
        <w:instrText xml:space="preserve"> PAGEREF _Toc43117844 \h </w:instrText>
      </w:r>
      <w:r>
        <w:rPr>
          <w:noProof/>
        </w:rPr>
      </w:r>
      <w:r>
        <w:rPr>
          <w:noProof/>
        </w:rPr>
        <w:fldChar w:fldCharType="separate"/>
      </w:r>
      <w:r>
        <w:rPr>
          <w:noProof/>
        </w:rPr>
        <w:t>9</w:t>
      </w:r>
      <w:r>
        <w:rPr>
          <w:noProof/>
        </w:rPr>
        <w:fldChar w:fldCharType="end"/>
      </w:r>
    </w:p>
    <w:p w14:paraId="103C8ACE" w14:textId="1B15A4B1" w:rsidR="00B849F0" w:rsidRDefault="00FF4E42" w:rsidP="006E4681">
      <w:pPr>
        <w:rPr>
          <w:rFonts w:ascii="Arial" w:hAnsi="Arial"/>
          <w:b/>
          <w:bCs/>
        </w:rPr>
      </w:pPr>
      <w:r>
        <w:rPr>
          <w:rFonts w:ascii="Arial" w:hAnsi="Arial"/>
          <w:b/>
          <w:bCs/>
        </w:rPr>
        <w:fldChar w:fldCharType="end"/>
      </w:r>
    </w:p>
    <w:p w14:paraId="7DA5C850" w14:textId="77777777" w:rsidR="006E4681" w:rsidRDefault="006E4681" w:rsidP="006E4681">
      <w:pPr>
        <w:rPr>
          <w:rFonts w:ascii="Arial" w:hAnsi="Arial"/>
          <w:b/>
          <w:bCs/>
        </w:rPr>
        <w:sectPr w:rsidR="006E4681" w:rsidSect="002C5DA5">
          <w:pgSz w:w="12240" w:h="15840"/>
          <w:pgMar w:top="1440" w:right="1800" w:bottom="1440" w:left="1800" w:header="720" w:footer="720" w:gutter="0"/>
          <w:cols w:space="720"/>
        </w:sectPr>
      </w:pPr>
    </w:p>
    <w:p w14:paraId="14D995B8" w14:textId="77777777" w:rsidR="00AB0A86" w:rsidRDefault="006E4681" w:rsidP="00AB0A86">
      <w:pPr>
        <w:rPr>
          <w:rFonts w:ascii="Arial" w:hAnsi="Arial"/>
          <w:b/>
          <w:bCs/>
        </w:rPr>
      </w:pPr>
      <w:r>
        <w:rPr>
          <w:rFonts w:ascii="Arial" w:hAnsi="Arial"/>
          <w:b/>
          <w:bCs/>
        </w:rPr>
        <w:lastRenderedPageBreak/>
        <w:t>Acronyms</w:t>
      </w:r>
    </w:p>
    <w:tbl>
      <w:tblPr>
        <w:tblStyle w:val="TableGrid"/>
        <w:tblW w:w="0" w:type="auto"/>
        <w:tblLook w:val="04A0" w:firstRow="1" w:lastRow="0" w:firstColumn="1" w:lastColumn="0" w:noHBand="0" w:noVBand="1"/>
      </w:tblPr>
      <w:tblGrid>
        <w:gridCol w:w="1915"/>
        <w:gridCol w:w="6529"/>
      </w:tblGrid>
      <w:tr w:rsidR="00A028B3" w:rsidRPr="00F70C2F" w14:paraId="4955D566" w14:textId="77777777" w:rsidTr="00B0552F">
        <w:tc>
          <w:tcPr>
            <w:tcW w:w="1915" w:type="dxa"/>
          </w:tcPr>
          <w:p w14:paraId="63E700B0"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BBRI</w:t>
            </w:r>
          </w:p>
        </w:tc>
        <w:tc>
          <w:tcPr>
            <w:tcW w:w="6529" w:type="dxa"/>
          </w:tcPr>
          <w:p w14:paraId="30124E62"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Better Business Regulation Initiative</w:t>
            </w:r>
          </w:p>
        </w:tc>
      </w:tr>
      <w:tr w:rsidR="00A028B3" w:rsidRPr="00F70C2F" w14:paraId="179BE5B7" w14:textId="77777777" w:rsidTr="00B0552F">
        <w:tc>
          <w:tcPr>
            <w:tcW w:w="1915" w:type="dxa"/>
          </w:tcPr>
          <w:p w14:paraId="7CE8950D"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BOI</w:t>
            </w:r>
          </w:p>
        </w:tc>
        <w:tc>
          <w:tcPr>
            <w:tcW w:w="6529" w:type="dxa"/>
          </w:tcPr>
          <w:p w14:paraId="01AAFC40"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Board of Investment</w:t>
            </w:r>
          </w:p>
        </w:tc>
      </w:tr>
      <w:tr w:rsidR="00A028B3" w:rsidRPr="00F70C2F" w14:paraId="5658DE15" w14:textId="77777777" w:rsidTr="00B0552F">
        <w:tc>
          <w:tcPr>
            <w:tcW w:w="1915" w:type="dxa"/>
          </w:tcPr>
          <w:p w14:paraId="52C85561"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BPS</w:t>
            </w:r>
          </w:p>
        </w:tc>
        <w:tc>
          <w:tcPr>
            <w:tcW w:w="6529" w:type="dxa"/>
          </w:tcPr>
          <w:p w14:paraId="6A80480C"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Basic Pay Scale</w:t>
            </w:r>
          </w:p>
        </w:tc>
      </w:tr>
      <w:tr w:rsidR="00A028B3" w:rsidRPr="00F70C2F" w14:paraId="7A3C8594" w14:textId="77777777" w:rsidTr="00B0552F">
        <w:tc>
          <w:tcPr>
            <w:tcW w:w="1915" w:type="dxa"/>
          </w:tcPr>
          <w:p w14:paraId="2A4CB0C9"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CNIC</w:t>
            </w:r>
          </w:p>
        </w:tc>
        <w:tc>
          <w:tcPr>
            <w:tcW w:w="6529" w:type="dxa"/>
          </w:tcPr>
          <w:p w14:paraId="5B26CABC"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Computerized National Identity Card</w:t>
            </w:r>
          </w:p>
        </w:tc>
      </w:tr>
      <w:tr w:rsidR="00A028B3" w:rsidRPr="00F70C2F" w14:paraId="73B99BEA" w14:textId="77777777" w:rsidTr="00B0552F">
        <w:tc>
          <w:tcPr>
            <w:tcW w:w="1915" w:type="dxa"/>
          </w:tcPr>
          <w:p w14:paraId="7EDD858F"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DD-CTG</w:t>
            </w:r>
          </w:p>
        </w:tc>
        <w:tc>
          <w:tcPr>
            <w:tcW w:w="6529" w:type="dxa"/>
          </w:tcPr>
          <w:p w14:paraId="1359B677"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Deputy Director-Commerce and Trade Group</w:t>
            </w:r>
          </w:p>
        </w:tc>
      </w:tr>
      <w:tr w:rsidR="00A028B3" w:rsidRPr="00F70C2F" w14:paraId="2B5287AE" w14:textId="77777777" w:rsidTr="00B0552F">
        <w:tc>
          <w:tcPr>
            <w:tcW w:w="1915" w:type="dxa"/>
          </w:tcPr>
          <w:p w14:paraId="329F520D"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ESS</w:t>
            </w:r>
          </w:p>
        </w:tc>
        <w:tc>
          <w:tcPr>
            <w:tcW w:w="6529" w:type="dxa"/>
          </w:tcPr>
          <w:p w14:paraId="251B81E2"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Environmental and Social Standards</w:t>
            </w:r>
          </w:p>
        </w:tc>
      </w:tr>
      <w:tr w:rsidR="00A028B3" w:rsidRPr="00F70C2F" w14:paraId="7A05F86A" w14:textId="77777777" w:rsidTr="00B0552F">
        <w:tc>
          <w:tcPr>
            <w:tcW w:w="1915" w:type="dxa"/>
          </w:tcPr>
          <w:p w14:paraId="182BEA1E"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FPSC</w:t>
            </w:r>
          </w:p>
        </w:tc>
        <w:tc>
          <w:tcPr>
            <w:tcW w:w="6529" w:type="dxa"/>
          </w:tcPr>
          <w:p w14:paraId="67C13472"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Federal Public Services Commission</w:t>
            </w:r>
          </w:p>
        </w:tc>
      </w:tr>
      <w:tr w:rsidR="00A028B3" w:rsidRPr="00F70C2F" w14:paraId="53C9482F" w14:textId="77777777" w:rsidTr="00B0552F">
        <w:tc>
          <w:tcPr>
            <w:tcW w:w="1915" w:type="dxa"/>
          </w:tcPr>
          <w:p w14:paraId="5217F624"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GN</w:t>
            </w:r>
          </w:p>
        </w:tc>
        <w:tc>
          <w:tcPr>
            <w:tcW w:w="6529" w:type="dxa"/>
          </w:tcPr>
          <w:p w14:paraId="7C4A91D3"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Guidance Note</w:t>
            </w:r>
          </w:p>
        </w:tc>
      </w:tr>
      <w:tr w:rsidR="00A028B3" w:rsidRPr="00F70C2F" w14:paraId="40D148E0" w14:textId="77777777" w:rsidTr="00B0552F">
        <w:tc>
          <w:tcPr>
            <w:tcW w:w="1915" w:type="dxa"/>
          </w:tcPr>
          <w:p w14:paraId="6BE308B7"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LMP</w:t>
            </w:r>
          </w:p>
        </w:tc>
        <w:tc>
          <w:tcPr>
            <w:tcW w:w="6529" w:type="dxa"/>
          </w:tcPr>
          <w:p w14:paraId="7FD245EB"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Labor Management Procedure</w:t>
            </w:r>
          </w:p>
        </w:tc>
      </w:tr>
      <w:tr w:rsidR="00A028B3" w:rsidRPr="00F70C2F" w14:paraId="4B97292C" w14:textId="77777777" w:rsidTr="00B0552F">
        <w:tc>
          <w:tcPr>
            <w:tcW w:w="1915" w:type="dxa"/>
          </w:tcPr>
          <w:p w14:paraId="37E580A2" w14:textId="487F0665" w:rsidR="00A028B3" w:rsidRPr="00445087" w:rsidRDefault="00A028B3" w:rsidP="00B0552F">
            <w:pPr>
              <w:suppressAutoHyphens w:val="0"/>
              <w:spacing w:before="0"/>
              <w:rPr>
                <w:rFonts w:asciiTheme="minorHAnsi" w:hAnsiTheme="minorHAnsi" w:cstheme="minorHAnsi"/>
                <w:sz w:val="22"/>
                <w:szCs w:val="22"/>
              </w:rPr>
            </w:pPr>
            <w:proofErr w:type="spellStart"/>
            <w:r w:rsidRPr="00445087">
              <w:rPr>
                <w:rFonts w:asciiTheme="minorHAnsi" w:hAnsiTheme="minorHAnsi" w:cstheme="minorHAnsi"/>
                <w:sz w:val="22"/>
                <w:szCs w:val="22"/>
              </w:rPr>
              <w:t>M</w:t>
            </w:r>
            <w:r w:rsidR="0070370E">
              <w:rPr>
                <w:rFonts w:asciiTheme="minorHAnsi" w:hAnsiTheme="minorHAnsi" w:cstheme="minorHAnsi"/>
                <w:sz w:val="22"/>
                <w:szCs w:val="22"/>
              </w:rPr>
              <w:t>oC</w:t>
            </w:r>
            <w:proofErr w:type="spellEnd"/>
          </w:p>
        </w:tc>
        <w:tc>
          <w:tcPr>
            <w:tcW w:w="6529" w:type="dxa"/>
          </w:tcPr>
          <w:p w14:paraId="7A8496B9" w14:textId="4A5EA3C0" w:rsidR="00A028B3" w:rsidRPr="00445087" w:rsidRDefault="00A028B3">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Ministry of Commerce</w:t>
            </w:r>
            <w:r w:rsidR="0070370E">
              <w:rPr>
                <w:rFonts w:asciiTheme="minorHAnsi" w:hAnsiTheme="minorHAnsi" w:cstheme="minorHAnsi"/>
                <w:sz w:val="22"/>
                <w:szCs w:val="22"/>
              </w:rPr>
              <w:t xml:space="preserve"> </w:t>
            </w:r>
          </w:p>
        </w:tc>
      </w:tr>
      <w:tr w:rsidR="00A028B3" w:rsidRPr="00F70C2F" w14:paraId="373EB055" w14:textId="77777777" w:rsidTr="00B0552F">
        <w:tc>
          <w:tcPr>
            <w:tcW w:w="1915" w:type="dxa"/>
          </w:tcPr>
          <w:p w14:paraId="3FA04DFA"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MOPHRD</w:t>
            </w:r>
          </w:p>
        </w:tc>
        <w:tc>
          <w:tcPr>
            <w:tcW w:w="6529" w:type="dxa"/>
          </w:tcPr>
          <w:p w14:paraId="03DC5893"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Ministry of Overseas Pakistanis and Human Resource Development</w:t>
            </w:r>
          </w:p>
        </w:tc>
      </w:tr>
      <w:tr w:rsidR="00A028B3" w:rsidRPr="00F70C2F" w14:paraId="7176DB2C" w14:textId="77777777" w:rsidTr="00B0552F">
        <w:tc>
          <w:tcPr>
            <w:tcW w:w="1915" w:type="dxa"/>
          </w:tcPr>
          <w:p w14:paraId="7AFF77CE"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MP</w:t>
            </w:r>
          </w:p>
        </w:tc>
        <w:tc>
          <w:tcPr>
            <w:tcW w:w="6529" w:type="dxa"/>
          </w:tcPr>
          <w:p w14:paraId="35A40C41"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 xml:space="preserve">Management Position </w:t>
            </w:r>
          </w:p>
        </w:tc>
      </w:tr>
      <w:tr w:rsidR="00A028B3" w:rsidRPr="00F70C2F" w14:paraId="67BEDAFC" w14:textId="77777777" w:rsidTr="00B0552F">
        <w:tc>
          <w:tcPr>
            <w:tcW w:w="1915" w:type="dxa"/>
          </w:tcPr>
          <w:p w14:paraId="77C324B6" w14:textId="68C0D88E" w:rsidR="00A028B3" w:rsidRPr="00445087" w:rsidRDefault="00A83F23" w:rsidP="00B0552F">
            <w:pPr>
              <w:suppressAutoHyphens w:val="0"/>
              <w:spacing w:before="0"/>
              <w:rPr>
                <w:rFonts w:asciiTheme="minorHAnsi" w:hAnsiTheme="minorHAnsi" w:cstheme="minorHAnsi"/>
                <w:sz w:val="22"/>
                <w:szCs w:val="22"/>
              </w:rPr>
            </w:pPr>
            <w:r>
              <w:rPr>
                <w:rFonts w:asciiTheme="minorHAnsi" w:hAnsiTheme="minorHAnsi" w:cstheme="minorHAnsi"/>
                <w:sz w:val="22"/>
                <w:szCs w:val="22"/>
              </w:rPr>
              <w:t>PGG Board</w:t>
            </w:r>
          </w:p>
        </w:tc>
        <w:tc>
          <w:tcPr>
            <w:tcW w:w="6529" w:type="dxa"/>
          </w:tcPr>
          <w:p w14:paraId="14645288" w14:textId="4940A44A" w:rsidR="00A028B3" w:rsidRPr="00445087" w:rsidRDefault="00A83F23" w:rsidP="00B0552F">
            <w:pPr>
              <w:suppressAutoHyphens w:val="0"/>
              <w:spacing w:before="0"/>
              <w:rPr>
                <w:rFonts w:asciiTheme="minorHAnsi" w:hAnsiTheme="minorHAnsi" w:cstheme="minorHAnsi"/>
                <w:sz w:val="22"/>
                <w:szCs w:val="22"/>
              </w:rPr>
            </w:pPr>
            <w:r>
              <w:rPr>
                <w:rFonts w:asciiTheme="minorHAnsi" w:hAnsiTheme="minorHAnsi" w:cstheme="minorHAnsi"/>
                <w:sz w:val="22"/>
                <w:szCs w:val="22"/>
              </w:rPr>
              <w:t>Pakistan Goes Global Board</w:t>
            </w:r>
          </w:p>
        </w:tc>
      </w:tr>
      <w:tr w:rsidR="00A028B3" w:rsidRPr="00F70C2F" w14:paraId="1BCDDB79" w14:textId="77777777" w:rsidTr="00B0552F">
        <w:tc>
          <w:tcPr>
            <w:tcW w:w="1915" w:type="dxa"/>
          </w:tcPr>
          <w:p w14:paraId="1FE3DC80"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OHS</w:t>
            </w:r>
          </w:p>
        </w:tc>
        <w:tc>
          <w:tcPr>
            <w:tcW w:w="6529" w:type="dxa"/>
          </w:tcPr>
          <w:p w14:paraId="038EE402"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Occupational Health and Safety</w:t>
            </w:r>
          </w:p>
        </w:tc>
      </w:tr>
      <w:tr w:rsidR="00A028B3" w:rsidRPr="00F70C2F" w14:paraId="45C16449" w14:textId="77777777" w:rsidTr="00B0552F">
        <w:tc>
          <w:tcPr>
            <w:tcW w:w="1915" w:type="dxa"/>
          </w:tcPr>
          <w:p w14:paraId="43697405"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PPRA</w:t>
            </w:r>
          </w:p>
        </w:tc>
        <w:tc>
          <w:tcPr>
            <w:tcW w:w="6529" w:type="dxa"/>
          </w:tcPr>
          <w:p w14:paraId="3F94AD19"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Public Procurement Regulatory Authority</w:t>
            </w:r>
          </w:p>
        </w:tc>
      </w:tr>
      <w:tr w:rsidR="00A028B3" w:rsidRPr="00F70C2F" w14:paraId="67252C0D" w14:textId="77777777" w:rsidTr="00B0552F">
        <w:tc>
          <w:tcPr>
            <w:tcW w:w="1915" w:type="dxa"/>
          </w:tcPr>
          <w:p w14:paraId="053F2737"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TDAP</w:t>
            </w:r>
          </w:p>
        </w:tc>
        <w:tc>
          <w:tcPr>
            <w:tcW w:w="6529" w:type="dxa"/>
          </w:tcPr>
          <w:p w14:paraId="62D02B97" w14:textId="77777777" w:rsidR="00A028B3" w:rsidRPr="00445087" w:rsidRDefault="00A028B3" w:rsidP="00B0552F">
            <w:pPr>
              <w:suppressAutoHyphens w:val="0"/>
              <w:spacing w:before="0"/>
              <w:rPr>
                <w:rFonts w:asciiTheme="minorHAnsi" w:hAnsiTheme="minorHAnsi" w:cstheme="minorHAnsi"/>
                <w:sz w:val="22"/>
                <w:szCs w:val="22"/>
              </w:rPr>
            </w:pPr>
            <w:r w:rsidRPr="00445087">
              <w:rPr>
                <w:rFonts w:asciiTheme="minorHAnsi" w:hAnsiTheme="minorHAnsi" w:cstheme="minorHAnsi"/>
                <w:sz w:val="22"/>
                <w:szCs w:val="22"/>
              </w:rPr>
              <w:t>Trade Development Authority of Pakistan</w:t>
            </w:r>
          </w:p>
        </w:tc>
      </w:tr>
      <w:tr w:rsidR="00756EAA" w:rsidRPr="00F70C2F" w14:paraId="735CB5F9" w14:textId="77777777" w:rsidTr="00B0552F">
        <w:tc>
          <w:tcPr>
            <w:tcW w:w="1915" w:type="dxa"/>
          </w:tcPr>
          <w:p w14:paraId="39635E72" w14:textId="46BE06B8" w:rsidR="00756EAA" w:rsidRPr="00445087" w:rsidRDefault="00756EAA" w:rsidP="00B0552F">
            <w:pPr>
              <w:rPr>
                <w:rFonts w:asciiTheme="minorHAnsi" w:hAnsiTheme="minorHAnsi" w:cstheme="minorHAnsi"/>
                <w:sz w:val="22"/>
                <w:szCs w:val="22"/>
              </w:rPr>
            </w:pPr>
            <w:r>
              <w:rPr>
                <w:rFonts w:asciiTheme="minorHAnsi" w:hAnsiTheme="minorHAnsi" w:cstheme="minorHAnsi"/>
                <w:sz w:val="22"/>
                <w:szCs w:val="22"/>
              </w:rPr>
              <w:t>TPW</w:t>
            </w:r>
          </w:p>
        </w:tc>
        <w:tc>
          <w:tcPr>
            <w:tcW w:w="6529" w:type="dxa"/>
          </w:tcPr>
          <w:p w14:paraId="342B11F5" w14:textId="0314A507" w:rsidR="00756EAA" w:rsidRPr="00445087" w:rsidRDefault="00756EAA" w:rsidP="00B0552F">
            <w:pPr>
              <w:rPr>
                <w:rFonts w:asciiTheme="minorHAnsi" w:hAnsiTheme="minorHAnsi" w:cstheme="minorHAnsi"/>
                <w:sz w:val="22"/>
                <w:szCs w:val="22"/>
              </w:rPr>
            </w:pPr>
            <w:r>
              <w:rPr>
                <w:rFonts w:asciiTheme="minorHAnsi" w:hAnsiTheme="minorHAnsi" w:cstheme="minorHAnsi"/>
                <w:sz w:val="22"/>
                <w:szCs w:val="22"/>
              </w:rPr>
              <w:t>Trade Policy Wing</w:t>
            </w:r>
          </w:p>
        </w:tc>
      </w:tr>
    </w:tbl>
    <w:p w14:paraId="4AF2E925" w14:textId="77777777" w:rsidR="00A028B3" w:rsidRDefault="00A028B3" w:rsidP="00AB0A86">
      <w:pPr>
        <w:rPr>
          <w:rFonts w:ascii="Arial" w:hAnsi="Arial"/>
          <w:b/>
          <w:bCs/>
        </w:rPr>
      </w:pPr>
    </w:p>
    <w:p w14:paraId="70AA28FA" w14:textId="77777777" w:rsidR="00A028B3" w:rsidRDefault="00A028B3" w:rsidP="00AB0A86">
      <w:pPr>
        <w:rPr>
          <w:rFonts w:ascii="Arial" w:hAnsi="Arial"/>
          <w:b/>
          <w:bCs/>
        </w:rPr>
        <w:sectPr w:rsidR="00A028B3" w:rsidSect="002C5DA5">
          <w:footerReference w:type="default" r:id="rId18"/>
          <w:pgSz w:w="12240" w:h="15840"/>
          <w:pgMar w:top="1440" w:right="1800" w:bottom="1440" w:left="1800" w:header="720" w:footer="720" w:gutter="0"/>
          <w:cols w:space="720"/>
        </w:sectPr>
      </w:pPr>
    </w:p>
    <w:p w14:paraId="457C75EB" w14:textId="20867DBA" w:rsidR="00290024" w:rsidRDefault="00290024" w:rsidP="00AB0A86">
      <w:pPr>
        <w:pStyle w:val="Heading1"/>
      </w:pPr>
      <w:bookmarkStart w:id="0" w:name="_Toc43117832"/>
      <w:r>
        <w:lastRenderedPageBreak/>
        <w:t>Introduction</w:t>
      </w:r>
      <w:bookmarkEnd w:id="0"/>
    </w:p>
    <w:p w14:paraId="46428BD0" w14:textId="1A30127D" w:rsidR="00091394" w:rsidRDefault="00091394" w:rsidP="00CE0C83">
      <w:pPr>
        <w:pStyle w:val="BodyText"/>
        <w:jc w:val="both"/>
        <w:rPr>
          <w:lang w:val="en-GB"/>
        </w:rPr>
      </w:pPr>
      <w:r w:rsidRPr="00091394">
        <w:rPr>
          <w:lang w:val="en-GB"/>
        </w:rPr>
        <w:t xml:space="preserve">This document constitutes the </w:t>
      </w:r>
      <w:proofErr w:type="spellStart"/>
      <w:r>
        <w:rPr>
          <w:lang w:val="en-GB"/>
        </w:rPr>
        <w:t>Labor</w:t>
      </w:r>
      <w:proofErr w:type="spellEnd"/>
      <w:r>
        <w:rPr>
          <w:lang w:val="en-GB"/>
        </w:rPr>
        <w:t xml:space="preserve"> Management Procedures (LMP)</w:t>
      </w:r>
      <w:r w:rsidRPr="00091394">
        <w:rPr>
          <w:lang w:val="en-GB"/>
        </w:rPr>
        <w:t xml:space="preserve"> for the Pakistan Goes Global (PGG) project, being prepared by the Government of Pakistan in collaboration with the World Bank</w:t>
      </w:r>
      <w:r w:rsidRPr="0084631A">
        <w:rPr>
          <w:lang w:val="en-GB"/>
        </w:rPr>
        <w:t xml:space="preserve">.  </w:t>
      </w:r>
    </w:p>
    <w:p w14:paraId="6A968B3C" w14:textId="27388276" w:rsidR="00091394" w:rsidRPr="00091394" w:rsidRDefault="00091394" w:rsidP="00CE0C83">
      <w:pPr>
        <w:pStyle w:val="BodyText"/>
        <w:jc w:val="both"/>
        <w:rPr>
          <w:lang w:val="en-GB"/>
        </w:rPr>
      </w:pPr>
      <w:r w:rsidRPr="00091394">
        <w:rPr>
          <w:lang w:val="en-GB"/>
        </w:rPr>
        <w:t>The overall objective of PGG is to</w:t>
      </w:r>
      <w:r>
        <w:rPr>
          <w:lang w:val="en-GB"/>
        </w:rPr>
        <w:t xml:space="preserve"> </w:t>
      </w:r>
      <w:r w:rsidRPr="00091394">
        <w:rPr>
          <w:lang w:val="en-GB"/>
        </w:rPr>
        <w:t xml:space="preserve">improve the enabling environment for exports and </w:t>
      </w:r>
      <w:r w:rsidR="00613F25">
        <w:rPr>
          <w:lang w:val="en-GB"/>
        </w:rPr>
        <w:t>strengthen export promotion</w:t>
      </w:r>
      <w:r w:rsidRPr="00091394">
        <w:rPr>
          <w:lang w:val="en-GB"/>
        </w:rPr>
        <w:t xml:space="preserve">.    The project has </w:t>
      </w:r>
      <w:r w:rsidR="00D35A13">
        <w:rPr>
          <w:lang w:val="en-GB"/>
        </w:rPr>
        <w:t>two</w:t>
      </w:r>
      <w:r w:rsidRPr="00091394">
        <w:rPr>
          <w:lang w:val="en-GB"/>
        </w:rPr>
        <w:t xml:space="preserve"> main components:</w:t>
      </w:r>
      <w:r w:rsidR="005944C1">
        <w:rPr>
          <w:lang w:val="en-GB"/>
        </w:rPr>
        <w:t xml:space="preserve">  1) </w:t>
      </w:r>
      <w:r w:rsidR="005944C1" w:rsidRPr="005944C1">
        <w:rPr>
          <w:lang w:val="en-GB"/>
        </w:rPr>
        <w:t xml:space="preserve">Investing in the </w:t>
      </w:r>
      <w:r w:rsidR="00D35A13">
        <w:rPr>
          <w:lang w:val="en-GB"/>
        </w:rPr>
        <w:t>e</w:t>
      </w:r>
      <w:r w:rsidR="005944C1" w:rsidRPr="005944C1">
        <w:rPr>
          <w:lang w:val="en-GB"/>
        </w:rPr>
        <w:t xml:space="preserve">nabling </w:t>
      </w:r>
      <w:r w:rsidR="00D35A13">
        <w:rPr>
          <w:lang w:val="en-GB"/>
        </w:rPr>
        <w:t>e</w:t>
      </w:r>
      <w:r w:rsidR="005944C1" w:rsidRPr="005944C1">
        <w:rPr>
          <w:lang w:val="en-GB"/>
        </w:rPr>
        <w:t xml:space="preserve">nvironment for </w:t>
      </w:r>
      <w:r w:rsidR="00D35A13">
        <w:rPr>
          <w:lang w:val="en-GB"/>
        </w:rPr>
        <w:t>e</w:t>
      </w:r>
      <w:r w:rsidR="005944C1" w:rsidRPr="005944C1">
        <w:rPr>
          <w:lang w:val="en-GB"/>
        </w:rPr>
        <w:t>xport</w:t>
      </w:r>
      <w:r w:rsidR="005944C1">
        <w:rPr>
          <w:lang w:val="en-GB"/>
        </w:rPr>
        <w:t xml:space="preserve">; </w:t>
      </w:r>
      <w:r w:rsidR="00D35A13">
        <w:rPr>
          <w:lang w:val="en-GB"/>
        </w:rPr>
        <w:t xml:space="preserve">and </w:t>
      </w:r>
      <w:r w:rsidR="005944C1">
        <w:rPr>
          <w:lang w:val="en-GB"/>
        </w:rPr>
        <w:t xml:space="preserve">2) </w:t>
      </w:r>
      <w:r w:rsidR="00B76A66" w:rsidRPr="00B76A66">
        <w:rPr>
          <w:lang w:val="en-GB"/>
        </w:rPr>
        <w:t>Investing in export promotion infrastructure</w:t>
      </w:r>
      <w:r w:rsidRPr="00091394">
        <w:rPr>
          <w:lang w:val="en-GB"/>
        </w:rPr>
        <w:t>.   Each of the</w:t>
      </w:r>
      <w:r w:rsidR="00681927">
        <w:rPr>
          <w:lang w:val="en-GB"/>
        </w:rPr>
        <w:t>se</w:t>
      </w:r>
      <w:r w:rsidRPr="00091394">
        <w:rPr>
          <w:lang w:val="en-GB"/>
        </w:rPr>
        <w:t xml:space="preserve"> will contribute to strengthen trade and investment competitiveness in Pakistan, by </w:t>
      </w:r>
      <w:r w:rsidR="00B76A66">
        <w:rPr>
          <w:lang w:val="en-GB"/>
        </w:rPr>
        <w:t>upgrading</w:t>
      </w:r>
      <w:r w:rsidR="00B76A66" w:rsidRPr="00091394">
        <w:rPr>
          <w:lang w:val="en-GB"/>
        </w:rPr>
        <w:t xml:space="preserve"> </w:t>
      </w:r>
      <w:r w:rsidRPr="00091394">
        <w:rPr>
          <w:lang w:val="en-GB"/>
        </w:rPr>
        <w:t>the institutional set up</w:t>
      </w:r>
      <w:r w:rsidR="00B76A66">
        <w:rPr>
          <w:lang w:val="en-GB"/>
        </w:rPr>
        <w:t xml:space="preserve"> for export promotion</w:t>
      </w:r>
      <w:r w:rsidRPr="00091394">
        <w:rPr>
          <w:lang w:val="en-GB"/>
        </w:rPr>
        <w:t xml:space="preserve"> and </w:t>
      </w:r>
      <w:r w:rsidR="00B76A66">
        <w:rPr>
          <w:lang w:val="en-GB"/>
        </w:rPr>
        <w:t>modernizing the associated infrastructure</w:t>
      </w:r>
      <w:r w:rsidRPr="00091394">
        <w:rPr>
          <w:lang w:val="en-GB"/>
        </w:rPr>
        <w:t xml:space="preserve">.  </w:t>
      </w:r>
      <w:r w:rsidR="00CE7FC7">
        <w:rPr>
          <w:lang w:val="en-GB"/>
        </w:rPr>
        <w:t>Component 3</w:t>
      </w:r>
      <w:r w:rsidR="00AE5EFD" w:rsidRPr="007145F2">
        <w:rPr>
          <w:rFonts w:asciiTheme="majorHAnsi" w:hAnsiTheme="majorHAnsi"/>
          <w:lang w:val="en-GB"/>
        </w:rPr>
        <w:t>, the C</w:t>
      </w:r>
      <w:r w:rsidR="00F253D8" w:rsidRPr="007145F2">
        <w:rPr>
          <w:rFonts w:asciiTheme="majorHAnsi" w:hAnsiTheme="majorHAnsi"/>
          <w:lang w:val="en-GB"/>
        </w:rPr>
        <w:t xml:space="preserve">ontingent </w:t>
      </w:r>
      <w:r w:rsidR="00AE5EFD" w:rsidRPr="007145F2">
        <w:rPr>
          <w:rFonts w:asciiTheme="majorHAnsi" w:hAnsiTheme="majorHAnsi"/>
          <w:lang w:val="en-GB"/>
        </w:rPr>
        <w:t>E</w:t>
      </w:r>
      <w:r w:rsidR="00F253D8" w:rsidRPr="007145F2">
        <w:rPr>
          <w:rFonts w:asciiTheme="majorHAnsi" w:hAnsiTheme="majorHAnsi"/>
          <w:lang w:val="en-GB"/>
        </w:rPr>
        <w:t xml:space="preserve">mergency </w:t>
      </w:r>
      <w:r w:rsidR="00AE5EFD" w:rsidRPr="007145F2">
        <w:rPr>
          <w:rFonts w:asciiTheme="majorHAnsi" w:hAnsiTheme="majorHAnsi"/>
          <w:lang w:val="en-GB"/>
        </w:rPr>
        <w:t>R</w:t>
      </w:r>
      <w:r w:rsidR="00F253D8" w:rsidRPr="007145F2">
        <w:rPr>
          <w:rFonts w:asciiTheme="majorHAnsi" w:hAnsiTheme="majorHAnsi"/>
          <w:lang w:val="en-GB"/>
        </w:rPr>
        <w:t>esponse</w:t>
      </w:r>
      <w:r w:rsidR="00AE5EFD" w:rsidRPr="007145F2">
        <w:rPr>
          <w:rFonts w:asciiTheme="majorHAnsi" w:hAnsiTheme="majorHAnsi"/>
          <w:lang w:val="en-GB"/>
        </w:rPr>
        <w:t xml:space="preserve"> Component (CERC)</w:t>
      </w:r>
      <w:r w:rsidR="00F253D8" w:rsidRPr="007145F2">
        <w:rPr>
          <w:rFonts w:asciiTheme="majorHAnsi" w:hAnsiTheme="majorHAnsi"/>
          <w:lang w:val="en-GB"/>
        </w:rPr>
        <w:t xml:space="preserve">, </w:t>
      </w:r>
      <w:r w:rsidR="00F3767E" w:rsidRPr="007145F2">
        <w:rPr>
          <w:rFonts w:asciiTheme="majorHAnsi" w:hAnsiTheme="majorHAnsi" w:cstheme="minorHAnsi"/>
        </w:rPr>
        <w:t xml:space="preserve">invests in the provision of immediate response to an Eligible Crisis or Emergency. This component is included to allow the flexibility to respond to the dynamics of the </w:t>
      </w:r>
      <w:r w:rsidR="0078439A">
        <w:rPr>
          <w:rFonts w:asciiTheme="majorHAnsi" w:hAnsiTheme="majorHAnsi" w:cstheme="minorHAnsi"/>
        </w:rPr>
        <w:t xml:space="preserve">Covid-19 </w:t>
      </w:r>
      <w:r w:rsidR="00F3767E" w:rsidRPr="007145F2">
        <w:rPr>
          <w:rFonts w:asciiTheme="majorHAnsi" w:hAnsiTheme="majorHAnsi" w:cstheme="minorHAnsi"/>
        </w:rPr>
        <w:t>pandemic and its economic impact on the export sector, as it evolves during the life of the Projec</w:t>
      </w:r>
      <w:r w:rsidR="002F3D6C">
        <w:rPr>
          <w:rFonts w:asciiTheme="majorHAnsi" w:hAnsiTheme="majorHAnsi" w:cstheme="minorHAnsi"/>
        </w:rPr>
        <w:t xml:space="preserve">t. </w:t>
      </w:r>
      <w:r w:rsidR="0078439A">
        <w:rPr>
          <w:rFonts w:asciiTheme="majorHAnsi" w:hAnsiTheme="majorHAnsi" w:cstheme="minorHAnsi"/>
        </w:rPr>
        <w:t>Relevant provisions of the LMP</w:t>
      </w:r>
      <w:r w:rsidR="000666B0">
        <w:rPr>
          <w:rFonts w:asciiTheme="majorHAnsi" w:hAnsiTheme="majorHAnsi" w:cstheme="minorHAnsi"/>
        </w:rPr>
        <w:t xml:space="preserve"> will apply to CERC.</w:t>
      </w:r>
    </w:p>
    <w:p w14:paraId="79B343CF" w14:textId="653966BB" w:rsidR="00267000" w:rsidRDefault="00267000" w:rsidP="00CE0C83">
      <w:pPr>
        <w:pStyle w:val="Heading2"/>
        <w:jc w:val="both"/>
      </w:pPr>
      <w:bookmarkStart w:id="1" w:name="_Toc43117833"/>
      <w:r>
        <w:t xml:space="preserve">Overview of </w:t>
      </w:r>
      <w:r w:rsidR="007B58F1">
        <w:t xml:space="preserve">Existing </w:t>
      </w:r>
      <w:r w:rsidRPr="00EF4C66">
        <w:t xml:space="preserve">Labor </w:t>
      </w:r>
      <w:r w:rsidR="00681927">
        <w:t>i</w:t>
      </w:r>
      <w:r>
        <w:t xml:space="preserve">n the </w:t>
      </w:r>
      <w:r w:rsidR="007B58F1">
        <w:t>Implementing Agencies</w:t>
      </w:r>
      <w:bookmarkEnd w:id="1"/>
    </w:p>
    <w:p w14:paraId="35D556FE" w14:textId="24247C86" w:rsidR="008C6DA1" w:rsidRDefault="00E64E8D" w:rsidP="00CE0C83">
      <w:pPr>
        <w:jc w:val="both"/>
      </w:pPr>
      <w:r>
        <w:t xml:space="preserve">The </w:t>
      </w:r>
      <w:r w:rsidR="0011551C">
        <w:t>existing</w:t>
      </w:r>
      <w:r w:rsidR="00EA3EFD">
        <w:t xml:space="preserve"> </w:t>
      </w:r>
      <w:r>
        <w:t xml:space="preserve">sanctioned posts in the concerned ministries/departments are given in the </w:t>
      </w:r>
      <w:r w:rsidR="00E5553C">
        <w:t>T</w:t>
      </w:r>
      <w:r>
        <w:t xml:space="preserve">able </w:t>
      </w:r>
      <w:r w:rsidR="00E5553C">
        <w:t xml:space="preserve">1.1 </w:t>
      </w:r>
      <w:r>
        <w:t>below.</w:t>
      </w:r>
      <w:r w:rsidR="007111DF">
        <w:t xml:space="preserve"> Please note </w:t>
      </w:r>
      <w:r w:rsidR="001A0877">
        <w:t xml:space="preserve">this is not the number of </w:t>
      </w:r>
      <w:r w:rsidR="00814CAD">
        <w:t>staff that will be implementing the Project</w:t>
      </w:r>
      <w:r w:rsidR="00E5553C">
        <w:t xml:space="preserve">; that </w:t>
      </w:r>
      <w:r w:rsidR="00386CBE">
        <w:t xml:space="preserve">number </w:t>
      </w:r>
      <w:r w:rsidR="00E5553C">
        <w:t>is provided in Table 1.2 below</w:t>
      </w:r>
      <w:r w:rsidR="00CA56B5">
        <w:t>.</w:t>
      </w:r>
    </w:p>
    <w:p w14:paraId="5AEDD059" w14:textId="3669CF14" w:rsidR="00872B34" w:rsidRDefault="00872B34" w:rsidP="00E969F5">
      <w:pPr>
        <w:pStyle w:val="TableTitle"/>
      </w:pPr>
      <w:r>
        <w:t xml:space="preserve">Table 1.1:  </w:t>
      </w:r>
      <w:r w:rsidR="00E969F5">
        <w:t>Staff Strength</w:t>
      </w:r>
    </w:p>
    <w:tbl>
      <w:tblPr>
        <w:tblStyle w:val="TableGrid"/>
        <w:tblW w:w="0" w:type="auto"/>
        <w:tblLook w:val="04A0" w:firstRow="1" w:lastRow="0" w:firstColumn="1" w:lastColumn="0" w:noHBand="0" w:noVBand="1"/>
      </w:tblPr>
      <w:tblGrid>
        <w:gridCol w:w="2900"/>
        <w:gridCol w:w="2870"/>
        <w:gridCol w:w="2870"/>
      </w:tblGrid>
      <w:tr w:rsidR="00E64E8D" w14:paraId="3BA9CE0B" w14:textId="77777777" w:rsidTr="00204DE4">
        <w:tc>
          <w:tcPr>
            <w:tcW w:w="2900" w:type="dxa"/>
          </w:tcPr>
          <w:p w14:paraId="6DA4518A" w14:textId="1B872B7D" w:rsidR="00E64E8D" w:rsidRDefault="00E64E8D" w:rsidP="00E64E8D">
            <w:pPr>
              <w:pStyle w:val="TableHead"/>
            </w:pPr>
            <w:r>
              <w:t>Ministry/Department</w:t>
            </w:r>
          </w:p>
        </w:tc>
        <w:tc>
          <w:tcPr>
            <w:tcW w:w="2870" w:type="dxa"/>
          </w:tcPr>
          <w:p w14:paraId="53D8FB31" w14:textId="422CE5DB" w:rsidR="00E64E8D" w:rsidRDefault="00E64E8D" w:rsidP="00E64E8D">
            <w:pPr>
              <w:pStyle w:val="TableHead"/>
            </w:pPr>
            <w:r>
              <w:t>Sanctioned strength for officers (BPS-17 to 22)</w:t>
            </w:r>
          </w:p>
        </w:tc>
        <w:tc>
          <w:tcPr>
            <w:tcW w:w="2870" w:type="dxa"/>
          </w:tcPr>
          <w:p w14:paraId="46295B8B" w14:textId="4F7AE2C4" w:rsidR="00E64E8D" w:rsidRDefault="00E64E8D" w:rsidP="00E64E8D">
            <w:pPr>
              <w:pStyle w:val="TableHead"/>
            </w:pPr>
            <w:r>
              <w:t>Sanctioned strength for support staff (BPS-1 to 16)</w:t>
            </w:r>
          </w:p>
        </w:tc>
      </w:tr>
      <w:tr w:rsidR="00E64E8D" w14:paraId="4CF11745" w14:textId="77777777" w:rsidTr="00204DE4">
        <w:tc>
          <w:tcPr>
            <w:tcW w:w="2900" w:type="dxa"/>
          </w:tcPr>
          <w:p w14:paraId="7C526112" w14:textId="5C2BDC70" w:rsidR="00E64E8D" w:rsidRDefault="00872B34" w:rsidP="00B76A66">
            <w:pPr>
              <w:pStyle w:val="TableEntry"/>
            </w:pPr>
            <w:r>
              <w:t>Ministry of Commerce</w:t>
            </w:r>
            <w:r w:rsidR="00932DBA">
              <w:t xml:space="preserve"> </w:t>
            </w:r>
            <w:r w:rsidR="00ED53CF">
              <w:t>(</w:t>
            </w:r>
            <w:proofErr w:type="spellStart"/>
            <w:r w:rsidR="00ED53CF">
              <w:t>M</w:t>
            </w:r>
            <w:r w:rsidR="00932DBA">
              <w:t>o</w:t>
            </w:r>
            <w:r w:rsidR="00ED53CF">
              <w:t>C</w:t>
            </w:r>
            <w:proofErr w:type="spellEnd"/>
            <w:r w:rsidR="00ED53CF">
              <w:t>)</w:t>
            </w:r>
          </w:p>
        </w:tc>
        <w:tc>
          <w:tcPr>
            <w:tcW w:w="2870" w:type="dxa"/>
          </w:tcPr>
          <w:p w14:paraId="7F62F103" w14:textId="74148218" w:rsidR="00E64E8D" w:rsidRDefault="00F950FE" w:rsidP="00E64E8D">
            <w:pPr>
              <w:pStyle w:val="TableEntry"/>
            </w:pPr>
            <w:r>
              <w:t>93</w:t>
            </w:r>
          </w:p>
        </w:tc>
        <w:tc>
          <w:tcPr>
            <w:tcW w:w="2870" w:type="dxa"/>
          </w:tcPr>
          <w:p w14:paraId="11C4FB80" w14:textId="51CFBFF7" w:rsidR="00E64E8D" w:rsidRDefault="00F950FE" w:rsidP="00E64E8D">
            <w:pPr>
              <w:pStyle w:val="TableEntry"/>
            </w:pPr>
            <w:r>
              <w:t>372</w:t>
            </w:r>
          </w:p>
        </w:tc>
      </w:tr>
      <w:tr w:rsidR="00E64E8D" w14:paraId="66AB18F2" w14:textId="77777777" w:rsidTr="00204DE4">
        <w:tc>
          <w:tcPr>
            <w:tcW w:w="2900" w:type="dxa"/>
          </w:tcPr>
          <w:p w14:paraId="667A38AA" w14:textId="06D1CC86" w:rsidR="00E64E8D" w:rsidRDefault="003B4EA9" w:rsidP="00E64E8D">
            <w:pPr>
              <w:pStyle w:val="TableEntry"/>
            </w:pPr>
            <w:r>
              <w:t>Board of Investment</w:t>
            </w:r>
            <w:r w:rsidR="00ED53CF">
              <w:t xml:space="preserve"> (BOI)</w:t>
            </w:r>
          </w:p>
        </w:tc>
        <w:tc>
          <w:tcPr>
            <w:tcW w:w="2870" w:type="dxa"/>
          </w:tcPr>
          <w:p w14:paraId="79DCBD80" w14:textId="5F51886B" w:rsidR="00E64E8D" w:rsidRDefault="003B4EA9" w:rsidP="00E64E8D">
            <w:pPr>
              <w:pStyle w:val="TableEntry"/>
            </w:pPr>
            <w:r>
              <w:t>56</w:t>
            </w:r>
          </w:p>
        </w:tc>
        <w:tc>
          <w:tcPr>
            <w:tcW w:w="2870" w:type="dxa"/>
          </w:tcPr>
          <w:p w14:paraId="245EDF59" w14:textId="55EB4F6E" w:rsidR="00E64E8D" w:rsidRDefault="003B4EA9" w:rsidP="00E64E8D">
            <w:pPr>
              <w:pStyle w:val="TableEntry"/>
            </w:pPr>
            <w:r>
              <w:t>229</w:t>
            </w:r>
          </w:p>
        </w:tc>
      </w:tr>
      <w:tr w:rsidR="00E64E8D" w14:paraId="5F495678" w14:textId="77777777" w:rsidTr="00204DE4">
        <w:tc>
          <w:tcPr>
            <w:tcW w:w="2900" w:type="dxa"/>
          </w:tcPr>
          <w:p w14:paraId="4CE8DDEB" w14:textId="399FECD9" w:rsidR="00E64E8D" w:rsidRDefault="00ED53CF" w:rsidP="00E64E8D">
            <w:pPr>
              <w:pStyle w:val="TableEntry"/>
            </w:pPr>
            <w:r>
              <w:t>Trade Development Authority of Pakistan (TDAP)</w:t>
            </w:r>
          </w:p>
        </w:tc>
        <w:tc>
          <w:tcPr>
            <w:tcW w:w="2870" w:type="dxa"/>
          </w:tcPr>
          <w:p w14:paraId="1C9670B1" w14:textId="507E420C" w:rsidR="00E64E8D" w:rsidRDefault="00CD5B78" w:rsidP="00E64E8D">
            <w:pPr>
              <w:pStyle w:val="TableEntry"/>
            </w:pPr>
            <w:r>
              <w:t>180</w:t>
            </w:r>
          </w:p>
        </w:tc>
        <w:tc>
          <w:tcPr>
            <w:tcW w:w="2870" w:type="dxa"/>
          </w:tcPr>
          <w:p w14:paraId="526DF47E" w14:textId="16B8B99A" w:rsidR="00E64E8D" w:rsidRDefault="00CD5B78" w:rsidP="00E64E8D">
            <w:pPr>
              <w:pStyle w:val="TableEntry"/>
            </w:pPr>
            <w:r>
              <w:t>916</w:t>
            </w:r>
          </w:p>
        </w:tc>
      </w:tr>
      <w:tr w:rsidR="00CB21BF" w14:paraId="08BC8FBC" w14:textId="77777777" w:rsidTr="00204DE4">
        <w:tc>
          <w:tcPr>
            <w:tcW w:w="2900" w:type="dxa"/>
          </w:tcPr>
          <w:p w14:paraId="4898E562" w14:textId="611A1576" w:rsidR="00CB21BF" w:rsidRDefault="00F020E6" w:rsidP="00E64E8D">
            <w:pPr>
              <w:pStyle w:val="TableEntry"/>
            </w:pPr>
            <w:r>
              <w:t>National Tariff Commission</w:t>
            </w:r>
            <w:r w:rsidR="00CB21BF">
              <w:t xml:space="preserve"> </w:t>
            </w:r>
          </w:p>
        </w:tc>
        <w:tc>
          <w:tcPr>
            <w:tcW w:w="2870" w:type="dxa"/>
          </w:tcPr>
          <w:p w14:paraId="2CA4CE39" w14:textId="3E0A8AEB" w:rsidR="00CB21BF" w:rsidRDefault="00CB21BF" w:rsidP="00E64E8D">
            <w:pPr>
              <w:pStyle w:val="TableEntry"/>
            </w:pPr>
            <w:r>
              <w:t>29 (additional 10 persons on contract)</w:t>
            </w:r>
          </w:p>
        </w:tc>
        <w:tc>
          <w:tcPr>
            <w:tcW w:w="2870" w:type="dxa"/>
          </w:tcPr>
          <w:p w14:paraId="49883095" w14:textId="4E52155E" w:rsidR="00CB21BF" w:rsidRDefault="00CB21BF" w:rsidP="00E64E8D">
            <w:pPr>
              <w:pStyle w:val="TableEntry"/>
            </w:pPr>
            <w:r>
              <w:t>70</w:t>
            </w:r>
          </w:p>
        </w:tc>
      </w:tr>
    </w:tbl>
    <w:p w14:paraId="2C9876FC" w14:textId="77777777" w:rsidR="00E64E8D" w:rsidRDefault="00E64E8D" w:rsidP="008C6DA1"/>
    <w:p w14:paraId="6D3D4E03" w14:textId="77777777" w:rsidR="00267000" w:rsidRPr="00267000" w:rsidRDefault="00267000" w:rsidP="00CE0C83">
      <w:pPr>
        <w:pStyle w:val="BodyText"/>
        <w:jc w:val="both"/>
        <w:rPr>
          <w:lang w:val="en-GB"/>
        </w:rPr>
      </w:pPr>
      <w:r w:rsidRPr="00267000">
        <w:rPr>
          <w:lang w:val="en-GB"/>
        </w:rPr>
        <w:t xml:space="preserve">As per the ESS2 – </w:t>
      </w:r>
      <w:proofErr w:type="spellStart"/>
      <w:r w:rsidRPr="00267000">
        <w:rPr>
          <w:lang w:val="en-GB"/>
        </w:rPr>
        <w:t>Labor</w:t>
      </w:r>
      <w:proofErr w:type="spellEnd"/>
      <w:r w:rsidRPr="00267000">
        <w:rPr>
          <w:lang w:val="en-GB"/>
        </w:rPr>
        <w:t xml:space="preserve"> and Working Conditions, the following definitions apply:</w:t>
      </w:r>
    </w:p>
    <w:p w14:paraId="274699AF" w14:textId="77777777" w:rsidR="00267000" w:rsidRPr="00267000" w:rsidRDefault="00267000" w:rsidP="00CE0C83">
      <w:pPr>
        <w:pStyle w:val="BodyText"/>
        <w:jc w:val="both"/>
        <w:rPr>
          <w:lang w:val="en-GB"/>
        </w:rPr>
      </w:pPr>
      <w:r w:rsidRPr="00DA74C5">
        <w:rPr>
          <w:b/>
          <w:i/>
          <w:lang w:val="en-GB"/>
        </w:rPr>
        <w:t>Project Workers</w:t>
      </w:r>
      <w:r w:rsidRPr="00267000">
        <w:rPr>
          <w:lang w:val="en-GB"/>
        </w:rPr>
        <w:t xml:space="preserve">:  These are people employed or engaged directly by the project, to work specifically in relation to the project (also known as direct workers); contracted workers engaged through third parties to perform work related to core functions of the project (known as contracted workers); people employed by primary suppliers (primary supply workers); or those providing community </w:t>
      </w:r>
      <w:proofErr w:type="spellStart"/>
      <w:r w:rsidRPr="00267000">
        <w:rPr>
          <w:lang w:val="en-GB"/>
        </w:rPr>
        <w:t>labor</w:t>
      </w:r>
      <w:proofErr w:type="spellEnd"/>
      <w:r w:rsidRPr="00267000">
        <w:rPr>
          <w:lang w:val="en-GB"/>
        </w:rPr>
        <w:t xml:space="preserve"> (community </w:t>
      </w:r>
      <w:proofErr w:type="spellStart"/>
      <w:r w:rsidRPr="00267000">
        <w:rPr>
          <w:lang w:val="en-GB"/>
        </w:rPr>
        <w:t>labor</w:t>
      </w:r>
      <w:proofErr w:type="spellEnd"/>
      <w:r w:rsidRPr="00267000">
        <w:rPr>
          <w:lang w:val="en-GB"/>
        </w:rPr>
        <w:t xml:space="preserve"> workers).  For this project, the first two categories will be important.</w:t>
      </w:r>
    </w:p>
    <w:p w14:paraId="18E8EFFD" w14:textId="3A48AA94" w:rsidR="003B55D2" w:rsidRDefault="00267000" w:rsidP="00CE0C83">
      <w:pPr>
        <w:pStyle w:val="BodyText"/>
        <w:jc w:val="both"/>
        <w:rPr>
          <w:lang w:val="en-GB"/>
        </w:rPr>
      </w:pPr>
      <w:r w:rsidRPr="00267000">
        <w:rPr>
          <w:b/>
          <w:i/>
          <w:lang w:val="en-GB"/>
        </w:rPr>
        <w:t>Number of Project Workers</w:t>
      </w:r>
      <w:r w:rsidRPr="00267000">
        <w:rPr>
          <w:lang w:val="en-GB"/>
        </w:rPr>
        <w:t xml:space="preserve">:  The exact number of project workers to be engaged in relation to the Project is presently not known. </w:t>
      </w:r>
      <w:r w:rsidR="003B55D2">
        <w:rPr>
          <w:lang w:val="en-GB"/>
        </w:rPr>
        <w:t xml:space="preserve"> Preliminary discussions indicate that the </w:t>
      </w:r>
      <w:proofErr w:type="spellStart"/>
      <w:r w:rsidR="003B55D2">
        <w:rPr>
          <w:lang w:val="en-GB"/>
        </w:rPr>
        <w:t>M</w:t>
      </w:r>
      <w:r w:rsidR="004D77AF">
        <w:rPr>
          <w:lang w:val="en-GB"/>
        </w:rPr>
        <w:t>o</w:t>
      </w:r>
      <w:r w:rsidR="003B55D2">
        <w:rPr>
          <w:lang w:val="en-GB"/>
        </w:rPr>
        <w:t>C</w:t>
      </w:r>
      <w:proofErr w:type="spellEnd"/>
      <w:r w:rsidR="003B55D2">
        <w:rPr>
          <w:lang w:val="en-GB"/>
        </w:rPr>
        <w:t xml:space="preserve"> will be recruiting </w:t>
      </w:r>
      <w:r w:rsidR="00553FC6">
        <w:rPr>
          <w:lang w:val="en-GB"/>
        </w:rPr>
        <w:t xml:space="preserve">at least one E&amp;S </w:t>
      </w:r>
      <w:r w:rsidR="000104DB">
        <w:rPr>
          <w:lang w:val="en-GB"/>
        </w:rPr>
        <w:t xml:space="preserve">Specialist, one communications specialist, </w:t>
      </w:r>
      <w:r w:rsidR="003B55D2">
        <w:rPr>
          <w:lang w:val="en-GB"/>
        </w:rPr>
        <w:t>5 economists and 10 research assistants</w:t>
      </w:r>
      <w:r w:rsidR="00094485">
        <w:rPr>
          <w:lang w:val="en-GB"/>
        </w:rPr>
        <w:t xml:space="preserve">, while the </w:t>
      </w:r>
      <w:r w:rsidR="00A83F23">
        <w:rPr>
          <w:lang w:val="en-GB"/>
        </w:rPr>
        <w:t xml:space="preserve">proposed PGG Board </w:t>
      </w:r>
      <w:r w:rsidR="00094485">
        <w:rPr>
          <w:lang w:val="en-GB"/>
        </w:rPr>
        <w:t xml:space="preserve">will be hiring </w:t>
      </w:r>
      <w:r w:rsidR="00094485">
        <w:rPr>
          <w:lang w:val="en-GB"/>
        </w:rPr>
        <w:lastRenderedPageBreak/>
        <w:t>4 researchers.  This information is reproduced in the table below and will be updated as staff plans are finalized.</w:t>
      </w:r>
    </w:p>
    <w:p w14:paraId="4CF03014" w14:textId="77777777" w:rsidR="00814CAD" w:rsidRDefault="00814CAD" w:rsidP="00094485">
      <w:pPr>
        <w:pStyle w:val="TableTitle"/>
        <w:rPr>
          <w:lang w:val="en-GB"/>
        </w:rPr>
      </w:pPr>
    </w:p>
    <w:p w14:paraId="46DEBAEC" w14:textId="38526B6E" w:rsidR="00267000" w:rsidRPr="00267000" w:rsidRDefault="00267000" w:rsidP="00094485">
      <w:pPr>
        <w:pStyle w:val="TableTitle"/>
        <w:rPr>
          <w:lang w:val="en-GB"/>
        </w:rPr>
      </w:pPr>
      <w:r w:rsidRPr="00267000">
        <w:rPr>
          <w:lang w:val="en-GB"/>
        </w:rPr>
        <w:t>Table 1.</w:t>
      </w:r>
      <w:r w:rsidR="00094485">
        <w:rPr>
          <w:lang w:val="en-GB"/>
        </w:rPr>
        <w:t>2</w:t>
      </w:r>
      <w:r w:rsidRPr="00267000">
        <w:rPr>
          <w:lang w:val="en-GB"/>
        </w:rPr>
        <w:t>:  Number of Project Workers</w:t>
      </w:r>
    </w:p>
    <w:p w14:paraId="69B5DCAE" w14:textId="77777777" w:rsidR="00267000" w:rsidRPr="00267000" w:rsidRDefault="00267000" w:rsidP="00267000">
      <w:pPr>
        <w:pStyle w:val="BodyText"/>
        <w:rPr>
          <w:lang w:val="en-GB"/>
        </w:rPr>
      </w:pPr>
    </w:p>
    <w:tbl>
      <w:tblPr>
        <w:tblStyle w:val="TableGrid"/>
        <w:tblW w:w="0" w:type="auto"/>
        <w:tblLook w:val="04A0" w:firstRow="1" w:lastRow="0" w:firstColumn="1" w:lastColumn="0" w:noHBand="0" w:noVBand="1"/>
      </w:tblPr>
      <w:tblGrid>
        <w:gridCol w:w="2339"/>
        <w:gridCol w:w="1859"/>
        <w:gridCol w:w="2206"/>
        <w:gridCol w:w="2236"/>
      </w:tblGrid>
      <w:tr w:rsidR="00000949" w:rsidRPr="00267000" w14:paraId="2F2F6759" w14:textId="77777777" w:rsidTr="00000949">
        <w:trPr>
          <w:tblHeader/>
        </w:trPr>
        <w:tc>
          <w:tcPr>
            <w:tcW w:w="2385" w:type="dxa"/>
          </w:tcPr>
          <w:p w14:paraId="00DFDD1A" w14:textId="77777777" w:rsidR="00267000" w:rsidRPr="00267000" w:rsidRDefault="00267000" w:rsidP="00094485">
            <w:pPr>
              <w:pStyle w:val="TableHead"/>
            </w:pPr>
            <w:r w:rsidRPr="00267000">
              <w:t>Components</w:t>
            </w:r>
          </w:p>
        </w:tc>
        <w:tc>
          <w:tcPr>
            <w:tcW w:w="1883" w:type="dxa"/>
          </w:tcPr>
          <w:p w14:paraId="2731D26A" w14:textId="10C4C7A9" w:rsidR="00267000" w:rsidRPr="00267000" w:rsidRDefault="00B76A66" w:rsidP="00094485">
            <w:pPr>
              <w:pStyle w:val="TableHead"/>
            </w:pPr>
            <w:r>
              <w:t>Key Activities</w:t>
            </w:r>
          </w:p>
        </w:tc>
        <w:tc>
          <w:tcPr>
            <w:tcW w:w="2250" w:type="dxa"/>
          </w:tcPr>
          <w:p w14:paraId="3D61E72E" w14:textId="77777777" w:rsidR="00267000" w:rsidRPr="00267000" w:rsidRDefault="00267000" w:rsidP="00094485">
            <w:pPr>
              <w:pStyle w:val="TableHead"/>
            </w:pPr>
            <w:r w:rsidRPr="00267000">
              <w:t>Key Institution(s)</w:t>
            </w:r>
          </w:p>
        </w:tc>
        <w:tc>
          <w:tcPr>
            <w:tcW w:w="2266" w:type="dxa"/>
          </w:tcPr>
          <w:p w14:paraId="6FEE974D" w14:textId="77777777" w:rsidR="00267000" w:rsidRPr="00267000" w:rsidRDefault="00267000" w:rsidP="00094485">
            <w:pPr>
              <w:pStyle w:val="TableHead"/>
            </w:pPr>
            <w:r w:rsidRPr="00267000">
              <w:t>Number of Workers</w:t>
            </w:r>
          </w:p>
        </w:tc>
      </w:tr>
      <w:tr w:rsidR="00267000" w:rsidRPr="00267000" w14:paraId="63D769BF" w14:textId="77777777" w:rsidTr="006A4F6C">
        <w:tc>
          <w:tcPr>
            <w:tcW w:w="2385" w:type="dxa"/>
          </w:tcPr>
          <w:p w14:paraId="489C9D45" w14:textId="260BBC99" w:rsidR="00267000" w:rsidRPr="00267000" w:rsidRDefault="00000949" w:rsidP="00094485">
            <w:pPr>
              <w:pStyle w:val="TableEntry"/>
            </w:pPr>
            <w:r>
              <w:t xml:space="preserve">Component 1: </w:t>
            </w:r>
            <w:r w:rsidRPr="00000949">
              <w:t xml:space="preserve">Investing in the Enabling Environment for Exporting </w:t>
            </w:r>
          </w:p>
        </w:tc>
        <w:tc>
          <w:tcPr>
            <w:tcW w:w="1883" w:type="dxa"/>
          </w:tcPr>
          <w:p w14:paraId="1FFB422A" w14:textId="389E9E4B" w:rsidR="003F461E" w:rsidRDefault="003F461E" w:rsidP="003F461E">
            <w:pPr>
              <w:pStyle w:val="TableEntry"/>
            </w:pPr>
            <w:r>
              <w:t xml:space="preserve">Establishment of a </w:t>
            </w:r>
            <w:r w:rsidR="00CC19E9">
              <w:t>PGG Board</w:t>
            </w:r>
            <w:r>
              <w:t xml:space="preserve">; establishment of a monitoring and evaluation (M&amp;E) platform for trade public support interventions; one-stop shop for business licensing and registration in Pakistan; </w:t>
            </w:r>
            <w:r w:rsidR="00C00DA6">
              <w:t>strengthening</w:t>
            </w:r>
            <w:r>
              <w:t xml:space="preserve"> the Trade Policy Wing (TPW) in MOC and </w:t>
            </w:r>
            <w:r w:rsidR="00C00DA6">
              <w:t>the National Tariff Commission (NTC)</w:t>
            </w:r>
            <w:r w:rsidR="00A83F23">
              <w:t>.</w:t>
            </w:r>
          </w:p>
          <w:p w14:paraId="4936DB38" w14:textId="77777777" w:rsidR="00CF6B9A" w:rsidRDefault="00CF6B9A" w:rsidP="003F461E">
            <w:pPr>
              <w:pStyle w:val="TableEntry"/>
            </w:pPr>
          </w:p>
          <w:p w14:paraId="0A831D10" w14:textId="77777777" w:rsidR="00CF6B9A" w:rsidRDefault="00CF6B9A" w:rsidP="00CF6B9A">
            <w:pPr>
              <w:pStyle w:val="TableEntry"/>
            </w:pPr>
          </w:p>
          <w:p w14:paraId="5884CED4" w14:textId="77777777" w:rsidR="00CF6B9A" w:rsidRDefault="00CF6B9A" w:rsidP="003F461E">
            <w:pPr>
              <w:pStyle w:val="TableEntry"/>
            </w:pPr>
          </w:p>
          <w:p w14:paraId="27633E32" w14:textId="70173BB8" w:rsidR="00267000" w:rsidRPr="00267000" w:rsidRDefault="00267000" w:rsidP="00094485">
            <w:pPr>
              <w:pStyle w:val="TableEntry"/>
            </w:pPr>
          </w:p>
        </w:tc>
        <w:tc>
          <w:tcPr>
            <w:tcW w:w="2250" w:type="dxa"/>
          </w:tcPr>
          <w:p w14:paraId="2555D3BD" w14:textId="136241E2" w:rsidR="00267000" w:rsidRPr="00267000" w:rsidRDefault="00384219" w:rsidP="0007057C">
            <w:pPr>
              <w:pStyle w:val="TableEntry"/>
            </w:pPr>
            <w:r>
              <w:t>MOC</w:t>
            </w:r>
            <w:r w:rsidR="0007057C">
              <w:t>, NTC</w:t>
            </w:r>
          </w:p>
        </w:tc>
        <w:tc>
          <w:tcPr>
            <w:tcW w:w="2266" w:type="dxa"/>
          </w:tcPr>
          <w:p w14:paraId="68A8CFC0" w14:textId="77777777" w:rsidR="00267000" w:rsidRPr="00267000" w:rsidRDefault="00267000" w:rsidP="00094485">
            <w:pPr>
              <w:pStyle w:val="TableEntry"/>
            </w:pPr>
            <w:r w:rsidRPr="00267000">
              <w:t xml:space="preserve">5 Economists </w:t>
            </w:r>
          </w:p>
          <w:p w14:paraId="5C0FC94E" w14:textId="77777777" w:rsidR="008741DE" w:rsidRDefault="00267000" w:rsidP="00094485">
            <w:pPr>
              <w:pStyle w:val="TableEntry"/>
            </w:pPr>
            <w:r w:rsidRPr="00267000">
              <w:t>10 Research Assistants</w:t>
            </w:r>
          </w:p>
          <w:p w14:paraId="5E0CC55A" w14:textId="0BFD8720" w:rsidR="00F15268" w:rsidRDefault="00F15268" w:rsidP="00094485">
            <w:pPr>
              <w:pStyle w:val="TableEntry"/>
            </w:pPr>
            <w:r>
              <w:t>1 E&amp;S Specialist</w:t>
            </w:r>
          </w:p>
          <w:p w14:paraId="18359305" w14:textId="0200B43A" w:rsidR="00F15268" w:rsidRDefault="00F15268" w:rsidP="00094485">
            <w:pPr>
              <w:pStyle w:val="TableEntry"/>
            </w:pPr>
            <w:r>
              <w:t>1 Communications Specialist</w:t>
            </w:r>
          </w:p>
          <w:p w14:paraId="2F36EDA4" w14:textId="3B8637A9" w:rsidR="00267000" w:rsidRPr="00267000" w:rsidRDefault="00267000" w:rsidP="00094485">
            <w:pPr>
              <w:pStyle w:val="TableEntry"/>
            </w:pPr>
            <w:r w:rsidRPr="00267000">
              <w:t xml:space="preserve"> (</w:t>
            </w:r>
            <w:r w:rsidR="00384219">
              <w:t>MOC</w:t>
            </w:r>
            <w:r w:rsidRPr="00267000">
              <w:t xml:space="preserve"> estimate for Project Management Unit)</w:t>
            </w:r>
          </w:p>
          <w:p w14:paraId="69476DD7" w14:textId="77777777" w:rsidR="00267000" w:rsidRPr="00267000" w:rsidRDefault="00267000" w:rsidP="00094485">
            <w:pPr>
              <w:pStyle w:val="TableEntry"/>
            </w:pPr>
          </w:p>
          <w:p w14:paraId="20A035A6" w14:textId="68860907" w:rsidR="0007057C" w:rsidRDefault="0007057C" w:rsidP="0007057C">
            <w:pPr>
              <w:pStyle w:val="TableEntry"/>
            </w:pPr>
            <w:r w:rsidRPr="00267000">
              <w:t xml:space="preserve">4 new staff and researchers in </w:t>
            </w:r>
            <w:r>
              <w:t>PGG Board</w:t>
            </w:r>
          </w:p>
          <w:p w14:paraId="744DB2F5" w14:textId="15F8E0E7" w:rsidR="00267000" w:rsidRPr="00267000" w:rsidRDefault="00267000" w:rsidP="00094485">
            <w:pPr>
              <w:pStyle w:val="TableEntry"/>
            </w:pPr>
          </w:p>
        </w:tc>
      </w:tr>
      <w:tr w:rsidR="00267000" w:rsidRPr="00267000" w14:paraId="7B11CA95" w14:textId="77777777" w:rsidTr="006A4F6C">
        <w:tc>
          <w:tcPr>
            <w:tcW w:w="2385" w:type="dxa"/>
          </w:tcPr>
          <w:p w14:paraId="5A00B142" w14:textId="07D8B1B2" w:rsidR="00267000" w:rsidRPr="00267000" w:rsidRDefault="00000949" w:rsidP="00D11F7D">
            <w:pPr>
              <w:pStyle w:val="TableEntry"/>
            </w:pPr>
            <w:r>
              <w:t xml:space="preserve">Component 2:  </w:t>
            </w:r>
            <w:r w:rsidRPr="00000949">
              <w:t xml:space="preserve">Investing in </w:t>
            </w:r>
            <w:r w:rsidR="00D11F7D">
              <w:t>export promotion infrastructure</w:t>
            </w:r>
            <w:r w:rsidRPr="00000949">
              <w:t xml:space="preserve"> </w:t>
            </w:r>
          </w:p>
        </w:tc>
        <w:tc>
          <w:tcPr>
            <w:tcW w:w="1883" w:type="dxa"/>
          </w:tcPr>
          <w:p w14:paraId="0D4EBBFA" w14:textId="3E16CADD" w:rsidR="00D11F7D" w:rsidRDefault="00D11F7D" w:rsidP="00D11F7D">
            <w:pPr>
              <w:pStyle w:val="TableEntry"/>
            </w:pPr>
            <w:r>
              <w:t>Country branding campaign; modernizing trade diplomacy; design and rollout of an export intelligence platform</w:t>
            </w:r>
            <w:r w:rsidR="0007057C">
              <w:t>; support to trade fairs and exhibitions, including virtual events</w:t>
            </w:r>
          </w:p>
          <w:p w14:paraId="7B53363B" w14:textId="06640DBE" w:rsidR="00267000" w:rsidRPr="00267000" w:rsidRDefault="00267000" w:rsidP="00094485">
            <w:pPr>
              <w:pStyle w:val="TableEntry"/>
            </w:pPr>
          </w:p>
        </w:tc>
        <w:tc>
          <w:tcPr>
            <w:tcW w:w="2250" w:type="dxa"/>
          </w:tcPr>
          <w:p w14:paraId="425481C6" w14:textId="1C7D6723" w:rsidR="00267000" w:rsidRPr="00267000" w:rsidRDefault="00384219" w:rsidP="0007057C">
            <w:pPr>
              <w:pStyle w:val="TableEntry"/>
            </w:pPr>
            <w:r>
              <w:t>MOC</w:t>
            </w:r>
            <w:r w:rsidR="00EE4100">
              <w:t>, BOI, TDAP</w:t>
            </w:r>
            <w:r w:rsidR="0007057C">
              <w:t xml:space="preserve"> </w:t>
            </w:r>
          </w:p>
        </w:tc>
        <w:tc>
          <w:tcPr>
            <w:tcW w:w="2266" w:type="dxa"/>
          </w:tcPr>
          <w:p w14:paraId="30E64F4F" w14:textId="2ECCCFEF" w:rsidR="00D75B82" w:rsidRPr="00267000" w:rsidRDefault="00D75B82" w:rsidP="00D75B82">
            <w:pPr>
              <w:pStyle w:val="TableEntry"/>
            </w:pPr>
            <w:r>
              <w:t>2 E&amp;S Focal Persons in BOI and TDAP</w:t>
            </w:r>
            <w:r w:rsidR="00DA778F">
              <w:t xml:space="preserve"> (existing staff with additional responsibility) </w:t>
            </w:r>
          </w:p>
          <w:p w14:paraId="459187C1" w14:textId="211B67B9" w:rsidR="00267000" w:rsidRPr="00267000" w:rsidRDefault="00267000" w:rsidP="00094485">
            <w:pPr>
              <w:pStyle w:val="TableEntry"/>
            </w:pPr>
          </w:p>
        </w:tc>
      </w:tr>
      <w:tr w:rsidR="0007057C" w:rsidRPr="00267000" w14:paraId="0C1E7E34" w14:textId="77777777" w:rsidTr="006A4F6C">
        <w:tc>
          <w:tcPr>
            <w:tcW w:w="2385" w:type="dxa"/>
          </w:tcPr>
          <w:p w14:paraId="6180A000" w14:textId="7FACF338" w:rsidR="0007057C" w:rsidRDefault="0007057C" w:rsidP="00D11F7D">
            <w:pPr>
              <w:pStyle w:val="TableEntry"/>
            </w:pPr>
            <w:r>
              <w:t xml:space="preserve">Component 3:  </w:t>
            </w:r>
            <w:r w:rsidRPr="0007057C">
              <w:t>Contingent Emergency Response Component (CERC)</w:t>
            </w:r>
          </w:p>
        </w:tc>
        <w:tc>
          <w:tcPr>
            <w:tcW w:w="1883" w:type="dxa"/>
          </w:tcPr>
          <w:p w14:paraId="1E8714F7" w14:textId="17838512" w:rsidR="0007057C" w:rsidRDefault="00E11F1F" w:rsidP="00D11F7D">
            <w:pPr>
              <w:pStyle w:val="TableEntry"/>
            </w:pPr>
            <w:r>
              <w:t>TBD</w:t>
            </w:r>
          </w:p>
        </w:tc>
        <w:tc>
          <w:tcPr>
            <w:tcW w:w="2250" w:type="dxa"/>
          </w:tcPr>
          <w:p w14:paraId="3F3C0FF6" w14:textId="77777777" w:rsidR="0007057C" w:rsidRDefault="0007057C" w:rsidP="0007057C">
            <w:pPr>
              <w:pStyle w:val="TableEntry"/>
            </w:pPr>
          </w:p>
        </w:tc>
        <w:tc>
          <w:tcPr>
            <w:tcW w:w="2266" w:type="dxa"/>
          </w:tcPr>
          <w:p w14:paraId="7E3D2E19" w14:textId="47C06D27" w:rsidR="0007057C" w:rsidRPr="00267000" w:rsidDel="0007057C" w:rsidRDefault="00104A78" w:rsidP="00094485">
            <w:pPr>
              <w:pStyle w:val="TableEntry"/>
            </w:pPr>
            <w:r>
              <w:t>TBD</w:t>
            </w:r>
          </w:p>
        </w:tc>
      </w:tr>
    </w:tbl>
    <w:p w14:paraId="2F3697D4" w14:textId="77777777" w:rsidR="00267000" w:rsidRPr="00267000" w:rsidRDefault="00267000" w:rsidP="00267000">
      <w:pPr>
        <w:pStyle w:val="BodyText"/>
        <w:rPr>
          <w:lang w:val="en-GB"/>
        </w:rPr>
      </w:pPr>
    </w:p>
    <w:p w14:paraId="5C6B7A4E" w14:textId="4DEE2EBD" w:rsidR="00267000" w:rsidRPr="00267000" w:rsidRDefault="00267000" w:rsidP="00CE0C83">
      <w:pPr>
        <w:pStyle w:val="BodyText"/>
        <w:jc w:val="both"/>
        <w:rPr>
          <w:lang w:val="en-GB"/>
        </w:rPr>
      </w:pPr>
      <w:r w:rsidRPr="00267000">
        <w:rPr>
          <w:b/>
          <w:i/>
          <w:lang w:val="en-GB"/>
        </w:rPr>
        <w:t xml:space="preserve">Timing of </w:t>
      </w:r>
      <w:proofErr w:type="spellStart"/>
      <w:r w:rsidRPr="00267000">
        <w:rPr>
          <w:b/>
          <w:i/>
          <w:lang w:val="en-GB"/>
        </w:rPr>
        <w:t>Labor</w:t>
      </w:r>
      <w:proofErr w:type="spellEnd"/>
      <w:r w:rsidRPr="00267000">
        <w:rPr>
          <w:b/>
          <w:i/>
          <w:lang w:val="en-GB"/>
        </w:rPr>
        <w:t xml:space="preserve"> Requirements</w:t>
      </w:r>
      <w:r w:rsidRPr="00267000">
        <w:rPr>
          <w:lang w:val="en-GB"/>
        </w:rPr>
        <w:t xml:space="preserve">: The project will run over a period of 5 years.  The first year will mainly consist of policy and planning activities, and primarily senior personnel will be engaged.  As activities begin to be rolled out in the second year and beyond, more staff will be involved, particularly in M&amp;E of trade and investment support schemes, management of the Better Business Regulation Initiative (BBRI), and business development services.  The bulk of project activities will proceed from Islamabad, but </w:t>
      </w:r>
      <w:r w:rsidR="00E21E87">
        <w:rPr>
          <w:lang w:val="en-GB"/>
        </w:rPr>
        <w:t>export promotion</w:t>
      </w:r>
      <w:r w:rsidR="00BB7B38">
        <w:rPr>
          <w:lang w:val="en-GB"/>
        </w:rPr>
        <w:t xml:space="preserve"> activities</w:t>
      </w:r>
      <w:r w:rsidRPr="00267000">
        <w:rPr>
          <w:lang w:val="en-GB"/>
        </w:rPr>
        <w:t xml:space="preserve"> will be </w:t>
      </w:r>
      <w:r w:rsidR="009F290A" w:rsidRPr="00267000">
        <w:rPr>
          <w:lang w:val="en-GB"/>
        </w:rPr>
        <w:t>centred</w:t>
      </w:r>
      <w:r w:rsidRPr="00267000">
        <w:rPr>
          <w:lang w:val="en-GB"/>
        </w:rPr>
        <w:t xml:space="preserve"> in Karachi.</w:t>
      </w:r>
      <w:r w:rsidR="008150C4">
        <w:rPr>
          <w:lang w:val="en-GB"/>
        </w:rPr>
        <w:t xml:space="preserve"> </w:t>
      </w:r>
    </w:p>
    <w:p w14:paraId="0639642C" w14:textId="195091D7" w:rsidR="00267000" w:rsidRPr="00267000" w:rsidRDefault="00267000" w:rsidP="00CE0C83">
      <w:pPr>
        <w:pStyle w:val="BodyText"/>
        <w:jc w:val="both"/>
        <w:rPr>
          <w:lang w:val="en-GB"/>
        </w:rPr>
      </w:pPr>
      <w:r w:rsidRPr="00267000">
        <w:rPr>
          <w:b/>
          <w:i/>
          <w:lang w:val="en-GB"/>
        </w:rPr>
        <w:lastRenderedPageBreak/>
        <w:t>Characteristics of Project Workers</w:t>
      </w:r>
      <w:r w:rsidRPr="00267000">
        <w:rPr>
          <w:lang w:val="en-GB"/>
        </w:rPr>
        <w:t xml:space="preserve">:  Most of the people who will be working on the project as of now are civil servants, whose employment is governed by the Civil Servants Act 1973.  ESS 2 is not applicable to civil servants </w:t>
      </w:r>
      <w:proofErr w:type="gramStart"/>
      <w:r w:rsidRPr="00267000">
        <w:rPr>
          <w:lang w:val="en-GB"/>
        </w:rPr>
        <w:t>with the exception of</w:t>
      </w:r>
      <w:proofErr w:type="gramEnd"/>
      <w:r w:rsidRPr="00267000">
        <w:rPr>
          <w:lang w:val="en-GB"/>
        </w:rPr>
        <w:t xml:space="preserve"> provisions relating to child and forced </w:t>
      </w:r>
      <w:proofErr w:type="spellStart"/>
      <w:r w:rsidRPr="00267000">
        <w:rPr>
          <w:lang w:val="en-GB"/>
        </w:rPr>
        <w:t>labor</w:t>
      </w:r>
      <w:proofErr w:type="spellEnd"/>
      <w:r w:rsidRPr="00267000">
        <w:rPr>
          <w:lang w:val="en-GB"/>
        </w:rPr>
        <w:t xml:space="preserve"> and occupational health and safety.  Recruitment to the civil service is through a competitive process, which does not allow for </w:t>
      </w:r>
      <w:r w:rsidR="00E10883">
        <w:rPr>
          <w:lang w:val="en-GB"/>
        </w:rPr>
        <w:t xml:space="preserve">child or </w:t>
      </w:r>
      <w:r w:rsidRPr="00267000">
        <w:rPr>
          <w:lang w:val="en-GB"/>
        </w:rPr>
        <w:t xml:space="preserve">forced </w:t>
      </w:r>
      <w:proofErr w:type="spellStart"/>
      <w:r w:rsidRPr="00267000">
        <w:rPr>
          <w:lang w:val="en-GB"/>
        </w:rPr>
        <w:t>labor</w:t>
      </w:r>
      <w:proofErr w:type="spellEnd"/>
      <w:r w:rsidRPr="00267000">
        <w:rPr>
          <w:lang w:val="en-GB"/>
        </w:rPr>
        <w:t xml:space="preserve"> to exist.  As per rules of the Federal Public Services Commission (FPSC), the government body that oversees recruitment to the civil service, the minimum age for recruitment is 21, and as such restrictions on child </w:t>
      </w:r>
      <w:proofErr w:type="spellStart"/>
      <w:r w:rsidRPr="00267000">
        <w:rPr>
          <w:lang w:val="en-GB"/>
        </w:rPr>
        <w:t>labor</w:t>
      </w:r>
      <w:proofErr w:type="spellEnd"/>
      <w:r w:rsidRPr="00267000">
        <w:rPr>
          <w:lang w:val="en-GB"/>
        </w:rPr>
        <w:t xml:space="preserve"> cannot be violated. </w:t>
      </w:r>
    </w:p>
    <w:p w14:paraId="7A982A30" w14:textId="66482010" w:rsidR="00267000" w:rsidRPr="00267000" w:rsidRDefault="00267000" w:rsidP="00CE0C83">
      <w:pPr>
        <w:pStyle w:val="BodyText"/>
        <w:jc w:val="both"/>
        <w:rPr>
          <w:lang w:val="en-GB"/>
        </w:rPr>
      </w:pPr>
      <w:r w:rsidRPr="00267000">
        <w:rPr>
          <w:b/>
          <w:i/>
          <w:lang w:val="en-GB"/>
        </w:rPr>
        <w:t>Contracted Workers</w:t>
      </w:r>
      <w:r w:rsidRPr="00267000">
        <w:rPr>
          <w:lang w:val="en-GB"/>
        </w:rPr>
        <w:t xml:space="preserve">: Project implementation arrangements in the </w:t>
      </w:r>
      <w:r w:rsidR="00E21E87">
        <w:rPr>
          <w:lang w:val="en-GB"/>
        </w:rPr>
        <w:t>three</w:t>
      </w:r>
      <w:r w:rsidR="00E21E87" w:rsidRPr="00267000">
        <w:rPr>
          <w:lang w:val="en-GB"/>
        </w:rPr>
        <w:t xml:space="preserve"> </w:t>
      </w:r>
      <w:r w:rsidRPr="00267000">
        <w:rPr>
          <w:lang w:val="en-GB"/>
        </w:rPr>
        <w:t xml:space="preserve">implementing agencies, including the </w:t>
      </w:r>
      <w:r w:rsidR="00384219">
        <w:rPr>
          <w:lang w:val="en-GB"/>
        </w:rPr>
        <w:t>MOC</w:t>
      </w:r>
      <w:r w:rsidRPr="00267000">
        <w:rPr>
          <w:lang w:val="en-GB"/>
        </w:rPr>
        <w:t xml:space="preserve">, BOI and TDAP, will include hiring of consultants in addition to using regular government officials.  The </w:t>
      </w:r>
      <w:r w:rsidR="00384219">
        <w:rPr>
          <w:lang w:val="en-GB"/>
        </w:rPr>
        <w:t>MOC</w:t>
      </w:r>
      <w:r w:rsidRPr="00267000">
        <w:rPr>
          <w:lang w:val="en-GB"/>
        </w:rPr>
        <w:t xml:space="preserve"> will be the focal point for all implementation activities and will oversee the program </w:t>
      </w:r>
      <w:proofErr w:type="gramStart"/>
      <w:r w:rsidRPr="00267000">
        <w:rPr>
          <w:lang w:val="en-GB"/>
        </w:rPr>
        <w:t>implementation as a whole</w:t>
      </w:r>
      <w:proofErr w:type="gramEnd"/>
      <w:r w:rsidRPr="00267000">
        <w:rPr>
          <w:lang w:val="en-GB"/>
        </w:rPr>
        <w:t>.  In addition, other contractual workers may be hired as project implementation proceeds.  Consultants will be hired using standard government procedures, involving advertisements, tests and interviews supervised by the FPSC</w:t>
      </w:r>
      <w:r w:rsidR="00A0495A">
        <w:rPr>
          <w:lang w:val="en-GB"/>
        </w:rPr>
        <w:t>, or by other means as specified by departments according to rules and procedures</w:t>
      </w:r>
      <w:r w:rsidRPr="00267000">
        <w:rPr>
          <w:lang w:val="en-GB"/>
        </w:rPr>
        <w:t>.</w:t>
      </w:r>
    </w:p>
    <w:p w14:paraId="5C39CEFC" w14:textId="4F61179A" w:rsidR="00267000" w:rsidRDefault="00267000" w:rsidP="00CE0C83">
      <w:pPr>
        <w:pStyle w:val="BodyText"/>
        <w:jc w:val="both"/>
        <w:rPr>
          <w:lang w:val="en-GB"/>
        </w:rPr>
      </w:pPr>
      <w:r w:rsidRPr="00267000">
        <w:rPr>
          <w:b/>
          <w:i/>
          <w:lang w:val="en-GB"/>
        </w:rPr>
        <w:t xml:space="preserve">Primary Supply/Community </w:t>
      </w:r>
      <w:proofErr w:type="spellStart"/>
      <w:r w:rsidRPr="00267000">
        <w:rPr>
          <w:b/>
          <w:i/>
          <w:lang w:val="en-GB"/>
        </w:rPr>
        <w:t>Labor</w:t>
      </w:r>
      <w:proofErr w:type="spellEnd"/>
      <w:r w:rsidRPr="00267000">
        <w:rPr>
          <w:b/>
          <w:i/>
          <w:lang w:val="en-GB"/>
        </w:rPr>
        <w:t xml:space="preserve"> and Migrant Workers</w:t>
      </w:r>
      <w:r w:rsidRPr="00267000">
        <w:rPr>
          <w:lang w:val="en-GB"/>
        </w:rPr>
        <w:t>: The project will not involve any physical infrastructure or works except for minor refurbishment of existing government offices</w:t>
      </w:r>
      <w:r w:rsidRPr="00267000">
        <w:rPr>
          <w:vertAlign w:val="superscript"/>
          <w:lang w:val="en-GB"/>
        </w:rPr>
        <w:footnoteReference w:id="2"/>
      </w:r>
      <w:r w:rsidRPr="00267000">
        <w:rPr>
          <w:lang w:val="en-GB"/>
        </w:rPr>
        <w:t xml:space="preserve">, but will include the acquisition of IT equipment and possibly software.  However, these materials are unlikely to be supplied on an ongoing basis.  As such, the project is unlikely to have a steady stream of primary supply workers.  </w:t>
      </w:r>
      <w:proofErr w:type="gramStart"/>
      <w:r w:rsidRPr="00267000">
        <w:rPr>
          <w:lang w:val="en-GB"/>
        </w:rPr>
        <w:t>Similarly</w:t>
      </w:r>
      <w:proofErr w:type="gramEnd"/>
      <w:r w:rsidRPr="00267000">
        <w:rPr>
          <w:lang w:val="en-GB"/>
        </w:rPr>
        <w:t xml:space="preserve"> there are no community infrastructure works in the project, so no community </w:t>
      </w:r>
      <w:proofErr w:type="spellStart"/>
      <w:r w:rsidRPr="00267000">
        <w:rPr>
          <w:lang w:val="en-GB"/>
        </w:rPr>
        <w:t>labor</w:t>
      </w:r>
      <w:proofErr w:type="spellEnd"/>
      <w:r w:rsidRPr="00267000">
        <w:rPr>
          <w:lang w:val="en-GB"/>
        </w:rPr>
        <w:t xml:space="preserve"> is involved.  Also, no migrant workers will be employed in the project.</w:t>
      </w:r>
    </w:p>
    <w:p w14:paraId="5AD34603" w14:textId="78F666AC" w:rsidR="0017331E" w:rsidRPr="00267000" w:rsidRDefault="006E315C" w:rsidP="00CE0C83">
      <w:pPr>
        <w:pStyle w:val="BodyText"/>
        <w:jc w:val="both"/>
        <w:rPr>
          <w:lang w:val="en-GB"/>
        </w:rPr>
      </w:pPr>
      <w:r>
        <w:rPr>
          <w:lang w:val="en-GB"/>
        </w:rPr>
        <w:t xml:space="preserve">The proposed </w:t>
      </w:r>
      <w:r w:rsidR="0017331E">
        <w:rPr>
          <w:lang w:val="en-GB"/>
        </w:rPr>
        <w:t>E&amp;S Specialist</w:t>
      </w:r>
      <w:r>
        <w:rPr>
          <w:lang w:val="en-GB"/>
        </w:rPr>
        <w:t>, with assistance from the E&amp;S Focal Points</w:t>
      </w:r>
      <w:r w:rsidR="008320B4">
        <w:rPr>
          <w:lang w:val="en-GB"/>
        </w:rPr>
        <w:t xml:space="preserve">, will be responsible for </w:t>
      </w:r>
      <w:r w:rsidR="00C75F2A">
        <w:rPr>
          <w:lang w:val="en-GB"/>
        </w:rPr>
        <w:t xml:space="preserve">monitoring the provisions of national </w:t>
      </w:r>
      <w:proofErr w:type="spellStart"/>
      <w:r w:rsidR="00C75F2A">
        <w:rPr>
          <w:lang w:val="en-GB"/>
        </w:rPr>
        <w:t>labor</w:t>
      </w:r>
      <w:proofErr w:type="spellEnd"/>
      <w:r w:rsidR="00C75F2A">
        <w:rPr>
          <w:lang w:val="en-GB"/>
        </w:rPr>
        <w:t xml:space="preserve"> law and WB </w:t>
      </w:r>
      <w:r w:rsidR="00FE3B09">
        <w:rPr>
          <w:lang w:val="en-GB"/>
        </w:rPr>
        <w:t xml:space="preserve">standards related to </w:t>
      </w:r>
      <w:proofErr w:type="spellStart"/>
      <w:r w:rsidR="00FE3B09">
        <w:rPr>
          <w:lang w:val="en-GB"/>
        </w:rPr>
        <w:t>labor</w:t>
      </w:r>
      <w:proofErr w:type="spellEnd"/>
      <w:r w:rsidR="00FE3B09">
        <w:rPr>
          <w:lang w:val="en-GB"/>
        </w:rPr>
        <w:t xml:space="preserve"> and occupational health and safety.</w:t>
      </w:r>
    </w:p>
    <w:p w14:paraId="4809115A" w14:textId="7FAD2E50" w:rsidR="00267000" w:rsidRPr="00267000" w:rsidRDefault="00902C11" w:rsidP="00902C11">
      <w:pPr>
        <w:pStyle w:val="Heading1"/>
      </w:pPr>
      <w:bookmarkStart w:id="2" w:name="_Toc43117834"/>
      <w:r>
        <w:t>Assessment of Key Potential Labor Risks</w:t>
      </w:r>
      <w:bookmarkEnd w:id="2"/>
    </w:p>
    <w:p w14:paraId="1EEB8CE7" w14:textId="77777777" w:rsidR="00267000" w:rsidRPr="00267000" w:rsidRDefault="00267000" w:rsidP="00CE0C83">
      <w:pPr>
        <w:pStyle w:val="BodyText"/>
        <w:jc w:val="both"/>
        <w:rPr>
          <w:lang w:val="en-GB"/>
        </w:rPr>
      </w:pPr>
      <w:r w:rsidRPr="00267000">
        <w:rPr>
          <w:b/>
          <w:i/>
          <w:lang w:val="en-GB"/>
        </w:rPr>
        <w:t>Project activities</w:t>
      </w:r>
      <w:r w:rsidRPr="00267000">
        <w:rPr>
          <w:lang w:val="en-GB"/>
        </w:rPr>
        <w:t>: The key activities of the project are listed below.</w:t>
      </w:r>
    </w:p>
    <w:p w14:paraId="5A3B548C" w14:textId="27F1EE90" w:rsidR="00AA7C6F" w:rsidRDefault="00AA7C6F" w:rsidP="00CE0C83">
      <w:pPr>
        <w:pStyle w:val="BodyText"/>
        <w:numPr>
          <w:ilvl w:val="0"/>
          <w:numId w:val="41"/>
        </w:numPr>
        <w:jc w:val="both"/>
        <w:rPr>
          <w:lang w:val="en-GB"/>
        </w:rPr>
      </w:pPr>
      <w:r>
        <w:rPr>
          <w:lang w:val="en-GB"/>
        </w:rPr>
        <w:t>Establishment of Project Management Unit and Shared Services Unit</w:t>
      </w:r>
    </w:p>
    <w:p w14:paraId="52A67D00" w14:textId="0715611D" w:rsidR="00A4185F" w:rsidRDefault="00A4185F" w:rsidP="00CE0C83">
      <w:pPr>
        <w:pStyle w:val="BodyText"/>
        <w:numPr>
          <w:ilvl w:val="0"/>
          <w:numId w:val="41"/>
        </w:numPr>
        <w:jc w:val="both"/>
        <w:rPr>
          <w:lang w:val="en-GB"/>
        </w:rPr>
      </w:pPr>
      <w:r>
        <w:rPr>
          <w:lang w:val="en-GB"/>
        </w:rPr>
        <w:t>Establishment and operation of the PGG Board;</w:t>
      </w:r>
    </w:p>
    <w:p w14:paraId="2573ACC6" w14:textId="3E27B2E0" w:rsidR="00267000" w:rsidRPr="00267000" w:rsidRDefault="00267000" w:rsidP="00CE0C83">
      <w:pPr>
        <w:pStyle w:val="BodyText"/>
        <w:numPr>
          <w:ilvl w:val="0"/>
          <w:numId w:val="41"/>
        </w:numPr>
        <w:jc w:val="both"/>
        <w:rPr>
          <w:lang w:val="en-GB"/>
        </w:rPr>
      </w:pPr>
      <w:r w:rsidRPr="00267000">
        <w:rPr>
          <w:lang w:val="en-GB"/>
        </w:rPr>
        <w:t xml:space="preserve">Constitution of an M&amp;E evaluation </w:t>
      </w:r>
      <w:r w:rsidR="00F70C2F">
        <w:rPr>
          <w:lang w:val="en-GB"/>
        </w:rPr>
        <w:t>platform</w:t>
      </w:r>
      <w:r w:rsidR="00F70C2F" w:rsidRPr="00267000">
        <w:rPr>
          <w:lang w:val="en-GB"/>
        </w:rPr>
        <w:t xml:space="preserve"> </w:t>
      </w:r>
      <w:r w:rsidRPr="00267000">
        <w:rPr>
          <w:lang w:val="en-GB"/>
        </w:rPr>
        <w:t xml:space="preserve">for trade </w:t>
      </w:r>
      <w:r w:rsidR="00F70C2F">
        <w:rPr>
          <w:lang w:val="en-GB"/>
        </w:rPr>
        <w:t>related interventions</w:t>
      </w:r>
      <w:r w:rsidRPr="00267000">
        <w:rPr>
          <w:lang w:val="en-GB"/>
        </w:rPr>
        <w:t>;</w:t>
      </w:r>
    </w:p>
    <w:p w14:paraId="6AAFF9AB" w14:textId="59EE88DB" w:rsidR="00267000" w:rsidRPr="00267000" w:rsidRDefault="00267000" w:rsidP="00CE0C83">
      <w:pPr>
        <w:pStyle w:val="BodyText"/>
        <w:numPr>
          <w:ilvl w:val="0"/>
          <w:numId w:val="41"/>
        </w:numPr>
        <w:jc w:val="both"/>
        <w:rPr>
          <w:lang w:val="en-GB"/>
        </w:rPr>
      </w:pPr>
      <w:r w:rsidRPr="00267000">
        <w:rPr>
          <w:lang w:val="en-GB"/>
        </w:rPr>
        <w:t>Implementation of the Better Business Regulation Initiative (BBRI)</w:t>
      </w:r>
      <w:r w:rsidR="0080118B">
        <w:rPr>
          <w:lang w:val="en-GB"/>
        </w:rPr>
        <w:t xml:space="preserve"> – a one stop </w:t>
      </w:r>
      <w:proofErr w:type="gramStart"/>
      <w:r w:rsidR="0080118B">
        <w:rPr>
          <w:lang w:val="en-GB"/>
        </w:rPr>
        <w:t>shop</w:t>
      </w:r>
      <w:proofErr w:type="gramEnd"/>
      <w:r w:rsidR="0080118B">
        <w:rPr>
          <w:lang w:val="en-GB"/>
        </w:rPr>
        <w:t xml:space="preserve"> for business licensing and regulation</w:t>
      </w:r>
      <w:r w:rsidRPr="00267000">
        <w:rPr>
          <w:lang w:val="en-GB"/>
        </w:rPr>
        <w:t>;</w:t>
      </w:r>
    </w:p>
    <w:p w14:paraId="7C0A0223" w14:textId="6CDE029E" w:rsidR="00267000" w:rsidRDefault="0080118B" w:rsidP="00CE0C83">
      <w:pPr>
        <w:pStyle w:val="BodyText"/>
        <w:numPr>
          <w:ilvl w:val="0"/>
          <w:numId w:val="41"/>
        </w:numPr>
        <w:jc w:val="both"/>
        <w:rPr>
          <w:lang w:val="en-GB"/>
        </w:rPr>
      </w:pPr>
      <w:r>
        <w:rPr>
          <w:lang w:val="en-GB"/>
        </w:rPr>
        <w:t>Strengthening of TPW and NTC</w:t>
      </w:r>
      <w:r w:rsidR="00267000" w:rsidRPr="00267000">
        <w:rPr>
          <w:lang w:val="en-GB"/>
        </w:rPr>
        <w:t>;</w:t>
      </w:r>
    </w:p>
    <w:p w14:paraId="2C530E48" w14:textId="095797C2" w:rsidR="0080118B" w:rsidRPr="00267000" w:rsidRDefault="0080118B" w:rsidP="00CE0C83">
      <w:pPr>
        <w:pStyle w:val="BodyText"/>
        <w:numPr>
          <w:ilvl w:val="0"/>
          <w:numId w:val="41"/>
        </w:numPr>
        <w:jc w:val="both"/>
        <w:rPr>
          <w:lang w:val="en-GB"/>
        </w:rPr>
      </w:pPr>
      <w:r>
        <w:rPr>
          <w:lang w:val="en-GB"/>
        </w:rPr>
        <w:lastRenderedPageBreak/>
        <w:t>Implementation of a country branding campaign;</w:t>
      </w:r>
    </w:p>
    <w:p w14:paraId="270103EF" w14:textId="1C174895" w:rsidR="00267000" w:rsidRDefault="0080118B" w:rsidP="00CE0C83">
      <w:pPr>
        <w:pStyle w:val="BodyText"/>
        <w:numPr>
          <w:ilvl w:val="0"/>
          <w:numId w:val="41"/>
        </w:numPr>
        <w:jc w:val="both"/>
        <w:rPr>
          <w:lang w:val="en-GB"/>
        </w:rPr>
      </w:pPr>
      <w:r>
        <w:rPr>
          <w:lang w:val="en-GB"/>
        </w:rPr>
        <w:t>Revamping the role of</w:t>
      </w:r>
      <w:r w:rsidR="00267000" w:rsidRPr="00267000">
        <w:rPr>
          <w:lang w:val="en-GB"/>
        </w:rPr>
        <w:t xml:space="preserve"> Trade Officers</w:t>
      </w:r>
      <w:r>
        <w:rPr>
          <w:lang w:val="en-GB"/>
        </w:rPr>
        <w:t xml:space="preserve"> and modernization of Pakistan’s trade diplomacy</w:t>
      </w:r>
      <w:r w:rsidR="00267000" w:rsidRPr="00267000">
        <w:rPr>
          <w:lang w:val="en-GB"/>
        </w:rPr>
        <w:t>;</w:t>
      </w:r>
    </w:p>
    <w:p w14:paraId="0065986A" w14:textId="6F2C65B2" w:rsidR="0080118B" w:rsidRPr="00267000" w:rsidRDefault="0080118B" w:rsidP="00CE0C83">
      <w:pPr>
        <w:pStyle w:val="BodyText"/>
        <w:numPr>
          <w:ilvl w:val="0"/>
          <w:numId w:val="41"/>
        </w:numPr>
        <w:jc w:val="both"/>
        <w:rPr>
          <w:lang w:val="en-GB"/>
        </w:rPr>
      </w:pPr>
      <w:r>
        <w:rPr>
          <w:lang w:val="en-GB"/>
        </w:rPr>
        <w:t>Design and rollout of an export intelligence platform.</w:t>
      </w:r>
    </w:p>
    <w:p w14:paraId="0D49B770" w14:textId="77777777" w:rsidR="00BE23DE" w:rsidRPr="00267000" w:rsidRDefault="00BE23DE" w:rsidP="00204DE4">
      <w:pPr>
        <w:pStyle w:val="BodyText"/>
        <w:ind w:left="720"/>
        <w:jc w:val="both"/>
        <w:rPr>
          <w:lang w:val="en-GB"/>
        </w:rPr>
      </w:pPr>
    </w:p>
    <w:p w14:paraId="074FE855" w14:textId="77777777" w:rsidR="00267000" w:rsidRPr="00267000" w:rsidRDefault="00267000" w:rsidP="00CE0C83">
      <w:pPr>
        <w:pStyle w:val="BodyText"/>
        <w:jc w:val="both"/>
        <w:rPr>
          <w:lang w:val="en-GB"/>
        </w:rPr>
      </w:pPr>
      <w:r w:rsidRPr="00267000">
        <w:rPr>
          <w:b/>
          <w:i/>
          <w:lang w:val="en-GB"/>
        </w:rPr>
        <w:t xml:space="preserve">Key </w:t>
      </w:r>
      <w:proofErr w:type="spellStart"/>
      <w:r w:rsidRPr="00267000">
        <w:rPr>
          <w:b/>
          <w:i/>
          <w:lang w:val="en-GB"/>
        </w:rPr>
        <w:t>Labor</w:t>
      </w:r>
      <w:proofErr w:type="spellEnd"/>
      <w:r w:rsidRPr="00267000">
        <w:rPr>
          <w:b/>
          <w:i/>
          <w:lang w:val="en-GB"/>
        </w:rPr>
        <w:t xml:space="preserve"> Risks:  </w:t>
      </w:r>
      <w:r w:rsidRPr="00267000">
        <w:rPr>
          <w:lang w:val="en-GB"/>
        </w:rPr>
        <w:t xml:space="preserve">The project consists mainly of policy implementation.  As such there are no risks to </w:t>
      </w:r>
      <w:proofErr w:type="spellStart"/>
      <w:r w:rsidRPr="00267000">
        <w:rPr>
          <w:lang w:val="en-GB"/>
        </w:rPr>
        <w:t>labor</w:t>
      </w:r>
      <w:proofErr w:type="spellEnd"/>
      <w:r w:rsidRPr="00267000">
        <w:rPr>
          <w:lang w:val="en-GB"/>
        </w:rPr>
        <w:t xml:space="preserve">.  The project activities do not require hazardous work, or use of child or migrant </w:t>
      </w:r>
      <w:proofErr w:type="spellStart"/>
      <w:r w:rsidRPr="00267000">
        <w:rPr>
          <w:lang w:val="en-GB"/>
        </w:rPr>
        <w:t>labor</w:t>
      </w:r>
      <w:proofErr w:type="spellEnd"/>
      <w:r w:rsidRPr="00267000">
        <w:rPr>
          <w:lang w:val="en-GB"/>
        </w:rPr>
        <w:t xml:space="preserve">, and there is no risk of </w:t>
      </w:r>
      <w:proofErr w:type="spellStart"/>
      <w:r w:rsidRPr="00267000">
        <w:rPr>
          <w:lang w:val="en-GB"/>
        </w:rPr>
        <w:t>labor</w:t>
      </w:r>
      <w:proofErr w:type="spellEnd"/>
      <w:r w:rsidRPr="00267000">
        <w:rPr>
          <w:lang w:val="en-GB"/>
        </w:rPr>
        <w:t xml:space="preserve"> influx due to project activities.  Occupational health and safety requirements will be overseen through relevant legislation as detailed in the next section.</w:t>
      </w:r>
    </w:p>
    <w:p w14:paraId="0FC0986E" w14:textId="4C1718E7" w:rsidR="00267000" w:rsidRPr="00267000" w:rsidRDefault="00384219" w:rsidP="00384219">
      <w:pPr>
        <w:pStyle w:val="Heading1"/>
      </w:pPr>
      <w:bookmarkStart w:id="3" w:name="_Toc43117835"/>
      <w:r w:rsidRPr="00267000">
        <w:t xml:space="preserve">Brief Overview </w:t>
      </w:r>
      <w:proofErr w:type="gramStart"/>
      <w:r w:rsidRPr="00267000">
        <w:t>Of</w:t>
      </w:r>
      <w:proofErr w:type="gramEnd"/>
      <w:r w:rsidRPr="00267000">
        <w:t xml:space="preserve"> Labor Legislation: Terms And Conditions</w:t>
      </w:r>
      <w:bookmarkEnd w:id="3"/>
    </w:p>
    <w:p w14:paraId="6AA46C28" w14:textId="604B7550" w:rsidR="00267000" w:rsidRPr="00267000" w:rsidRDefault="00267000" w:rsidP="00CE0C83">
      <w:pPr>
        <w:pStyle w:val="BodyText"/>
        <w:jc w:val="both"/>
        <w:rPr>
          <w:lang w:val="en-GB"/>
        </w:rPr>
      </w:pPr>
      <w:r w:rsidRPr="00267000">
        <w:rPr>
          <w:lang w:val="en-GB"/>
        </w:rPr>
        <w:t xml:space="preserve">For the purpose of this project we are assuming that two categories of workers would be employed on the project: civil servants and consultants (on </w:t>
      </w:r>
      <w:proofErr w:type="gramStart"/>
      <w:r w:rsidRPr="00267000">
        <w:rPr>
          <w:lang w:val="en-GB"/>
        </w:rPr>
        <w:t>long or short term</w:t>
      </w:r>
      <w:proofErr w:type="gramEnd"/>
      <w:r w:rsidRPr="00267000">
        <w:rPr>
          <w:lang w:val="en-GB"/>
        </w:rPr>
        <w:t xml:space="preserve"> contracts).  </w:t>
      </w:r>
      <w:r w:rsidR="00B0552F">
        <w:rPr>
          <w:lang w:val="en-GB"/>
        </w:rPr>
        <w:t xml:space="preserve">The term consultants here also </w:t>
      </w:r>
      <w:proofErr w:type="gramStart"/>
      <w:r w:rsidR="00B0552F">
        <w:rPr>
          <w:lang w:val="en-GB"/>
        </w:rPr>
        <w:t>refers</w:t>
      </w:r>
      <w:proofErr w:type="gramEnd"/>
      <w:r w:rsidR="00B0552F">
        <w:rPr>
          <w:lang w:val="en-GB"/>
        </w:rPr>
        <w:t xml:space="preserve"> to all contract employees, whether they are hired on short or long term contracts.   </w:t>
      </w:r>
      <w:r w:rsidR="00CE0059">
        <w:rPr>
          <w:lang w:val="en-GB"/>
        </w:rPr>
        <w:t xml:space="preserve"> </w:t>
      </w:r>
      <w:r w:rsidR="00B0552F">
        <w:rPr>
          <w:lang w:val="en-GB"/>
        </w:rPr>
        <w:t>Regular civil servants</w:t>
      </w:r>
      <w:r w:rsidRPr="00267000">
        <w:rPr>
          <w:lang w:val="en-GB"/>
        </w:rPr>
        <w:t xml:space="preserve"> are governed by the Civil Services Act 1973.</w:t>
      </w:r>
      <w:r w:rsidR="00B0552F">
        <w:rPr>
          <w:lang w:val="en-GB"/>
        </w:rPr>
        <w:t xml:space="preserve">  Contract employees are governed by the terms of their respective contracts as drawn up by the departments in question.  Organizations such as TDAP </w:t>
      </w:r>
      <w:r w:rsidR="005F732A">
        <w:rPr>
          <w:lang w:val="en-GB"/>
        </w:rPr>
        <w:t>hire contract employees under provisions of Section 8 of the TDAP Act of 2013.</w:t>
      </w:r>
    </w:p>
    <w:p w14:paraId="712B82EC" w14:textId="77777777" w:rsidR="00267000" w:rsidRPr="00267000" w:rsidRDefault="00267000" w:rsidP="00CE0C83">
      <w:pPr>
        <w:pStyle w:val="BodyText"/>
        <w:jc w:val="both"/>
        <w:rPr>
          <w:lang w:val="en-GB"/>
        </w:rPr>
      </w:pPr>
      <w:r w:rsidRPr="00267000">
        <w:rPr>
          <w:b/>
          <w:i/>
          <w:lang w:val="en-GB"/>
        </w:rPr>
        <w:t>Civil Services Act 1973</w:t>
      </w:r>
      <w:r w:rsidRPr="00267000">
        <w:rPr>
          <w:lang w:val="en-GB"/>
        </w:rPr>
        <w:t>:  The law governing the service matters of the federal government employees is the Civil Services Act 1973. Under this Act, a civil servant is defined as, “ …a person who is a member of an All</w:t>
      </w:r>
      <w:r w:rsidRPr="00267000">
        <w:rPr>
          <w:lang w:val="en-GB"/>
        </w:rPr>
        <w:softHyphen/>
        <w:t xml:space="preserve"> Pakistan Service or of a civil service of the Federation, or who holds a civil post in connection with the affairs of the Federation, including any such post connected with defence…” </w:t>
      </w:r>
    </w:p>
    <w:p w14:paraId="1DBFD176" w14:textId="77777777" w:rsidR="00267000" w:rsidRPr="00267000" w:rsidRDefault="00267000" w:rsidP="00CE0C83">
      <w:pPr>
        <w:pStyle w:val="BodyText"/>
        <w:jc w:val="both"/>
        <w:rPr>
          <w:lang w:val="en-GB"/>
        </w:rPr>
      </w:pPr>
      <w:r w:rsidRPr="00267000">
        <w:rPr>
          <w:lang w:val="en-GB"/>
        </w:rPr>
        <w:t xml:space="preserve">The Civil Services Act 1973 covers areas such as terms of employment, appointments, probation, confirmation of service, seniority, promotion, postings and transfers, termination of service, retirement, post retirement employment, conduct, discipline, pay and other monetary benefits, leave and pensions. Within this law, one of the most relevant sections for this project is section 11A; which deals with the absorption of civil servants rendered surplus as a result of reorganisation or abolition of a division or a department. </w:t>
      </w:r>
    </w:p>
    <w:p w14:paraId="62D34EAB" w14:textId="77777777" w:rsidR="00267000" w:rsidRPr="00267000" w:rsidRDefault="00267000" w:rsidP="00CE0C83">
      <w:pPr>
        <w:pStyle w:val="BodyText"/>
        <w:jc w:val="both"/>
        <w:rPr>
          <w:lang w:val="en-GB"/>
        </w:rPr>
      </w:pPr>
    </w:p>
    <w:tbl>
      <w:tblPr>
        <w:tblStyle w:val="TableGrid"/>
        <w:tblW w:w="0" w:type="auto"/>
        <w:tblLook w:val="04A0" w:firstRow="1" w:lastRow="0" w:firstColumn="1" w:lastColumn="0" w:noHBand="0" w:noVBand="1"/>
      </w:tblPr>
      <w:tblGrid>
        <w:gridCol w:w="8640"/>
      </w:tblGrid>
      <w:tr w:rsidR="00267000" w:rsidRPr="00267000" w14:paraId="4223B67F" w14:textId="77777777" w:rsidTr="005944C1">
        <w:tc>
          <w:tcPr>
            <w:tcW w:w="9010" w:type="dxa"/>
          </w:tcPr>
          <w:p w14:paraId="5F7DD5CE" w14:textId="77777777" w:rsidR="00267000" w:rsidRPr="00A34EFE" w:rsidRDefault="00267000" w:rsidP="00CE0C83">
            <w:pPr>
              <w:pStyle w:val="BodyText"/>
              <w:jc w:val="both"/>
              <w:rPr>
                <w:i/>
                <w:sz w:val="20"/>
                <w:szCs w:val="20"/>
                <w:lang w:val="en-GB"/>
              </w:rPr>
            </w:pPr>
            <w:r w:rsidRPr="00A34EFE">
              <w:rPr>
                <w:i/>
                <w:sz w:val="20"/>
                <w:szCs w:val="20"/>
                <w:lang w:val="en-GB"/>
              </w:rPr>
              <w:t xml:space="preserve">Section 11A. Absorption of civil servants rendered </w:t>
            </w:r>
            <w:proofErr w:type="gramStart"/>
            <w:r w:rsidRPr="00A34EFE">
              <w:rPr>
                <w:i/>
                <w:sz w:val="20"/>
                <w:szCs w:val="20"/>
                <w:lang w:val="en-GB"/>
              </w:rPr>
              <w:t>surplus.—</w:t>
            </w:r>
            <w:proofErr w:type="gramEnd"/>
            <w:r w:rsidRPr="00A34EFE">
              <w:rPr>
                <w:i/>
                <w:sz w:val="20"/>
                <w:szCs w:val="20"/>
                <w:lang w:val="en-GB"/>
              </w:rPr>
              <w:t xml:space="preserve"> Notwithstanding anything contained in this Act. the rules, agreement, contract or the terms and conditions of service, a civil servant who is rendered surplus as a result of re</w:t>
            </w:r>
            <w:r w:rsidRPr="00A34EFE">
              <w:rPr>
                <w:i/>
                <w:sz w:val="20"/>
                <w:szCs w:val="20"/>
                <w:lang w:val="en-GB"/>
              </w:rPr>
              <w:softHyphen/>
              <w:t xml:space="preserve">organization or abolition of a Division, department, office or abolition of a post in pursuance of any Government decision may be appointed in a post, carrying basic pay scale equal to the post held by him before such appointment, if he possesses the qualifications and fulfils other conditions applicable to that post. </w:t>
            </w:r>
          </w:p>
          <w:p w14:paraId="798017F3" w14:textId="77777777" w:rsidR="00267000" w:rsidRPr="00267000" w:rsidRDefault="00267000" w:rsidP="00CE0C83">
            <w:pPr>
              <w:pStyle w:val="BodyText"/>
              <w:jc w:val="both"/>
            </w:pPr>
          </w:p>
        </w:tc>
      </w:tr>
    </w:tbl>
    <w:p w14:paraId="6F1CEB4B" w14:textId="77777777" w:rsidR="00267000" w:rsidRPr="00267000" w:rsidRDefault="00267000" w:rsidP="00CE0C83">
      <w:pPr>
        <w:pStyle w:val="BodyText"/>
        <w:jc w:val="both"/>
        <w:rPr>
          <w:lang w:val="en-GB"/>
        </w:rPr>
      </w:pPr>
    </w:p>
    <w:p w14:paraId="437B8F30" w14:textId="77777777" w:rsidR="00267000" w:rsidRPr="00267000" w:rsidRDefault="00267000" w:rsidP="00CE0C83">
      <w:pPr>
        <w:pStyle w:val="BodyText"/>
        <w:jc w:val="both"/>
        <w:rPr>
          <w:lang w:val="en-GB"/>
        </w:rPr>
      </w:pPr>
      <w:r w:rsidRPr="00267000">
        <w:rPr>
          <w:lang w:val="en-GB"/>
        </w:rPr>
        <w:lastRenderedPageBreak/>
        <w:t xml:space="preserve">While civil servants of BPS-17 and above are typically posted in various </w:t>
      </w:r>
      <w:proofErr w:type="gramStart"/>
      <w:r w:rsidRPr="00267000">
        <w:rPr>
          <w:lang w:val="en-GB"/>
        </w:rPr>
        <w:t>departments, and</w:t>
      </w:r>
      <w:proofErr w:type="gramEnd"/>
      <w:r w:rsidRPr="00267000">
        <w:rPr>
          <w:lang w:val="en-GB"/>
        </w:rPr>
        <w:t xml:space="preserve"> can be accommodated if posts or departments are abolished, accommodating support staff (BPS-16 and below) can be more difficult as these appointments are normally department specific. Nevertheless, the same rules apply, and staff of BPS-1 to 16 who are rendered surplus are also entitled to be appointed to an alternative equivalent post.</w:t>
      </w:r>
    </w:p>
    <w:p w14:paraId="7630F07D" w14:textId="49E05C06" w:rsidR="00267000" w:rsidRPr="00267000" w:rsidRDefault="00267000" w:rsidP="00CE0C83">
      <w:pPr>
        <w:pStyle w:val="BodyText"/>
        <w:jc w:val="both"/>
        <w:rPr>
          <w:lang w:val="en-GB"/>
        </w:rPr>
      </w:pPr>
      <w:r w:rsidRPr="00267000">
        <w:rPr>
          <w:b/>
          <w:i/>
          <w:lang w:val="en-GB"/>
        </w:rPr>
        <w:t>Contractual staff</w:t>
      </w:r>
      <w:r w:rsidRPr="00267000">
        <w:rPr>
          <w:lang w:val="en-GB"/>
        </w:rPr>
        <w:t xml:space="preserve">:  The government can hire consultants/sector experts to help improve its </w:t>
      </w:r>
      <w:proofErr w:type="gramStart"/>
      <w:r w:rsidRPr="00267000">
        <w:rPr>
          <w:lang w:val="en-GB"/>
        </w:rPr>
        <w:t>functioning, and</w:t>
      </w:r>
      <w:proofErr w:type="gramEnd"/>
      <w:r w:rsidRPr="00267000">
        <w:rPr>
          <w:lang w:val="en-GB"/>
        </w:rPr>
        <w:t xml:space="preserve"> help plug gaps in technical expertise within departments. The contracts of employment of such staff are governed under the specified terms.  Top cadre contractual staff are normally hired according to the Management Position (MP) scales, which are generally equivalent in terms of seniority to officers in BPS 20 to 22.</w:t>
      </w:r>
      <w:r w:rsidRPr="00267000">
        <w:rPr>
          <w:vertAlign w:val="superscript"/>
          <w:lang w:val="en-GB"/>
        </w:rPr>
        <w:footnoteReference w:id="3"/>
      </w:r>
      <w:r w:rsidRPr="00267000">
        <w:rPr>
          <w:lang w:val="en-GB"/>
        </w:rPr>
        <w:t xml:space="preserve">  MP contracts are normally issued for a period of up to two </w:t>
      </w:r>
      <w:proofErr w:type="gramStart"/>
      <w:r w:rsidRPr="00267000">
        <w:rPr>
          <w:lang w:val="en-GB"/>
        </w:rPr>
        <w:t>years, and</w:t>
      </w:r>
      <w:proofErr w:type="gramEnd"/>
      <w:r w:rsidRPr="00267000">
        <w:rPr>
          <w:lang w:val="en-GB"/>
        </w:rPr>
        <w:t xml:space="preserve"> include medical cover and gratuity.  </w:t>
      </w:r>
      <w:r w:rsidR="00A5120B">
        <w:rPr>
          <w:lang w:val="en-GB"/>
        </w:rPr>
        <w:t xml:space="preserve">Consultants can also be hired through other arrangements, as specified by the department.  </w:t>
      </w:r>
      <w:r w:rsidRPr="00267000">
        <w:rPr>
          <w:lang w:val="en-GB"/>
        </w:rPr>
        <w:t>Contracts can be terminated by either side</w:t>
      </w:r>
      <w:r w:rsidR="00D97C65">
        <w:rPr>
          <w:lang w:val="en-GB"/>
        </w:rPr>
        <w:t xml:space="preserve"> </w:t>
      </w:r>
      <w:r w:rsidR="00E96F0B">
        <w:rPr>
          <w:lang w:val="en-GB"/>
        </w:rPr>
        <w:t>per the</w:t>
      </w:r>
      <w:r w:rsidR="001D2DF7">
        <w:rPr>
          <w:lang w:val="en-GB"/>
        </w:rPr>
        <w:t xml:space="preserve"> terms of notice period mentioned in </w:t>
      </w:r>
      <w:r w:rsidR="00E96F0B">
        <w:rPr>
          <w:lang w:val="en-GB"/>
        </w:rPr>
        <w:t xml:space="preserve">the </w:t>
      </w:r>
      <w:r w:rsidR="001D2DF7">
        <w:rPr>
          <w:lang w:val="en-GB"/>
        </w:rPr>
        <w:t>Contract</w:t>
      </w:r>
      <w:r w:rsidR="00A50348">
        <w:rPr>
          <w:lang w:val="en-GB"/>
        </w:rPr>
        <w:t xml:space="preserve">, which is </w:t>
      </w:r>
      <w:r w:rsidR="00873C46">
        <w:rPr>
          <w:lang w:val="en-GB"/>
        </w:rPr>
        <w:t>commonly</w:t>
      </w:r>
      <w:r w:rsidR="00A50348">
        <w:rPr>
          <w:lang w:val="en-GB"/>
        </w:rPr>
        <w:t xml:space="preserve"> one month</w:t>
      </w:r>
      <w:r w:rsidRPr="00267000">
        <w:rPr>
          <w:lang w:val="en-GB"/>
        </w:rPr>
        <w:t>.</w:t>
      </w:r>
    </w:p>
    <w:p w14:paraId="4E86D343" w14:textId="4EDCE19A" w:rsidR="00267000" w:rsidRPr="00267000" w:rsidRDefault="00384219" w:rsidP="00CE0C83">
      <w:pPr>
        <w:pStyle w:val="Heading1"/>
        <w:jc w:val="both"/>
      </w:pPr>
      <w:bookmarkStart w:id="4" w:name="_Toc43117836"/>
      <w:r w:rsidRPr="00267000">
        <w:t xml:space="preserve">Brief Overview </w:t>
      </w:r>
      <w:proofErr w:type="gramStart"/>
      <w:r w:rsidRPr="00267000">
        <w:t>Of</w:t>
      </w:r>
      <w:proofErr w:type="gramEnd"/>
      <w:r w:rsidRPr="00267000">
        <w:t xml:space="preserve"> Labor Legislation: Occupational Health And Safety (O</w:t>
      </w:r>
      <w:r w:rsidR="00726D22">
        <w:t>HS</w:t>
      </w:r>
      <w:r w:rsidRPr="00267000">
        <w:t>)</w:t>
      </w:r>
      <w:bookmarkEnd w:id="4"/>
    </w:p>
    <w:p w14:paraId="256381E4" w14:textId="77777777" w:rsidR="00267000" w:rsidRPr="00267000" w:rsidRDefault="00267000" w:rsidP="00CE0C83">
      <w:pPr>
        <w:pStyle w:val="BodyText"/>
        <w:jc w:val="both"/>
        <w:rPr>
          <w:lang w:val="en-GB"/>
        </w:rPr>
      </w:pPr>
      <w:proofErr w:type="spellStart"/>
      <w:r w:rsidRPr="00267000">
        <w:rPr>
          <w:lang w:val="en-GB"/>
        </w:rPr>
        <w:t>Labor</w:t>
      </w:r>
      <w:proofErr w:type="spellEnd"/>
      <w:r w:rsidRPr="00267000">
        <w:rPr>
          <w:lang w:val="en-GB"/>
        </w:rPr>
        <w:t xml:space="preserve"> is a provincial subject in Pakistan, with provincial Departments of </w:t>
      </w:r>
      <w:proofErr w:type="spellStart"/>
      <w:r w:rsidRPr="00267000">
        <w:rPr>
          <w:lang w:val="en-GB"/>
        </w:rPr>
        <w:t>Labor</w:t>
      </w:r>
      <w:proofErr w:type="spellEnd"/>
      <w:r w:rsidRPr="00267000">
        <w:rPr>
          <w:lang w:val="en-GB"/>
        </w:rPr>
        <w:t xml:space="preserve"> mainly responsible for implementing health and safety regulations.  At the federal level, </w:t>
      </w:r>
      <w:proofErr w:type="spellStart"/>
      <w:r w:rsidRPr="00267000">
        <w:rPr>
          <w:lang w:val="en-GB"/>
        </w:rPr>
        <w:t>labor</w:t>
      </w:r>
      <w:proofErr w:type="spellEnd"/>
      <w:r w:rsidRPr="00267000">
        <w:rPr>
          <w:lang w:val="en-GB"/>
        </w:rPr>
        <w:t xml:space="preserve"> related issues are handled by the Ministry of Overseas Pakistanis and Human Resource Development (MOPHRD).  </w:t>
      </w:r>
    </w:p>
    <w:p w14:paraId="01F47F8E" w14:textId="77777777" w:rsidR="00267000" w:rsidRPr="00267000" w:rsidRDefault="00267000" w:rsidP="00CE0C83">
      <w:pPr>
        <w:pStyle w:val="BodyText"/>
        <w:jc w:val="both"/>
        <w:rPr>
          <w:lang w:val="en-GB"/>
        </w:rPr>
      </w:pPr>
      <w:r w:rsidRPr="00267000">
        <w:rPr>
          <w:lang w:val="en-GB"/>
        </w:rPr>
        <w:t xml:space="preserve">The last </w:t>
      </w:r>
      <w:proofErr w:type="spellStart"/>
      <w:r w:rsidRPr="00267000">
        <w:rPr>
          <w:lang w:val="en-GB"/>
        </w:rPr>
        <w:t>labor</w:t>
      </w:r>
      <w:proofErr w:type="spellEnd"/>
      <w:r w:rsidRPr="00267000">
        <w:rPr>
          <w:lang w:val="en-GB"/>
        </w:rPr>
        <w:t xml:space="preserve"> policy approved by the Cabinet was in 2010, prior to the devolution of </w:t>
      </w:r>
      <w:proofErr w:type="spellStart"/>
      <w:r w:rsidRPr="00267000">
        <w:rPr>
          <w:lang w:val="en-GB"/>
        </w:rPr>
        <w:t>labor</w:t>
      </w:r>
      <w:proofErr w:type="spellEnd"/>
      <w:r w:rsidRPr="00267000">
        <w:rPr>
          <w:lang w:val="en-GB"/>
        </w:rPr>
        <w:t xml:space="preserve"> regulation to the provinces.  The </w:t>
      </w:r>
      <w:proofErr w:type="spellStart"/>
      <w:r w:rsidRPr="00267000">
        <w:rPr>
          <w:lang w:val="en-GB"/>
        </w:rPr>
        <w:t>Labor</w:t>
      </w:r>
      <w:proofErr w:type="spellEnd"/>
      <w:r w:rsidRPr="00267000">
        <w:rPr>
          <w:lang w:val="en-GB"/>
        </w:rPr>
        <w:t xml:space="preserve"> Policy of 2010 recommends creation of a Tripartite Council on Health and Safety to identify health and safety hazards for workers of all economic sectors, and to make recommendations for safety measures on a continuous basis.  However, the policy remained largely unimplemented, mainly as federal structures dealing with </w:t>
      </w:r>
      <w:proofErr w:type="spellStart"/>
      <w:r w:rsidRPr="00267000">
        <w:rPr>
          <w:lang w:val="en-GB"/>
        </w:rPr>
        <w:t>labor</w:t>
      </w:r>
      <w:proofErr w:type="spellEnd"/>
      <w:r w:rsidRPr="00267000">
        <w:rPr>
          <w:lang w:val="en-GB"/>
        </w:rPr>
        <w:t xml:space="preserve"> issues were dismantled.  The federal government did, however, develop a model OHS law for the provinces to adapt and enact. Subsequently, the Sindh Government passed an Occupational Safety and Health Act in 2017, and more recently the Government of Punjab has also passed The Punjab Occupational Safety and Health Act 2019. However, the model law is yet to be enacted by the Federal Government itself. </w:t>
      </w:r>
    </w:p>
    <w:p w14:paraId="4A72FF5F" w14:textId="77777777" w:rsidR="00267000" w:rsidRPr="00267000" w:rsidRDefault="00267000" w:rsidP="00CE0C83">
      <w:pPr>
        <w:pStyle w:val="BodyText"/>
        <w:jc w:val="both"/>
        <w:rPr>
          <w:lang w:val="en-GB"/>
        </w:rPr>
      </w:pPr>
      <w:r w:rsidRPr="00267000">
        <w:rPr>
          <w:lang w:val="en-GB"/>
        </w:rPr>
        <w:t xml:space="preserve">In the absence of a legislative framework at the federal level, the ESS2 provides standards and guidance for the government regarding issues pertaining to OHS which are to be tailored as per the context and the requirements of the project. ESS 2, paragraph 25 states that, “The OHS measures will be designed and implemented to address: (a) identification of potential hazards to project workers, particularly those that may be life-threatening; (b) provision of preventive and protective measures, including modification, substitution, or elimination of hazardous conditions or substances; (c) training of project workers and maintenance of training records; (d) </w:t>
      </w:r>
      <w:r w:rsidRPr="00267000">
        <w:rPr>
          <w:lang w:val="en-GB"/>
        </w:rPr>
        <w:lastRenderedPageBreak/>
        <w:t>documentation and reporting of occupational accidents, diseases and incidents; (e) emergency prevention and preparedness and response arrangements to emergency situations; and (f) remedies for adverse impacts such as occupational injuries, deaths, disability and disease.”</w:t>
      </w:r>
    </w:p>
    <w:p w14:paraId="1338B516" w14:textId="77777777" w:rsidR="00267000" w:rsidRPr="00267000" w:rsidRDefault="00267000" w:rsidP="00CE0C83">
      <w:pPr>
        <w:pStyle w:val="BodyText"/>
        <w:jc w:val="both"/>
        <w:rPr>
          <w:lang w:val="en-GB"/>
        </w:rPr>
      </w:pPr>
      <w:r w:rsidRPr="00267000">
        <w:rPr>
          <w:lang w:val="en-GB"/>
        </w:rPr>
        <w:t xml:space="preserve">For the purpose of the proposed programme, GN 25.1 of ESS 2 is one of the most relevant sections of the guidance note.   This deals with environment and working conditions. (for example, working at heights or in confined spaces, excessive hours of work, night work, mental or physical factors, oxygen- deficient environments, excessive temperatures, improper ventilation, poor lighting, faulty electrical systems or trenches). As per the guidance note, the OHS measures would include the identification of potential hazards and responses including design, testing, choice, substitution, installation, arrangement, organization, use, and maintenance of workplaces, working environment, and work processes to eliminate sources of risk or minimize project workers’ exposure. </w:t>
      </w:r>
    </w:p>
    <w:p w14:paraId="53FD3E94" w14:textId="77777777" w:rsidR="00267000" w:rsidRPr="00267000" w:rsidRDefault="00267000" w:rsidP="00CE0C83">
      <w:pPr>
        <w:pStyle w:val="BodyText"/>
        <w:jc w:val="both"/>
        <w:rPr>
          <w:lang w:val="en-GB"/>
        </w:rPr>
      </w:pPr>
      <w:r w:rsidRPr="00267000">
        <w:rPr>
          <w:lang w:val="en-GB"/>
        </w:rPr>
        <w:t xml:space="preserve">Furthermore, GN 25.3 deals with risks specific to female workers. It recommends that women be included in the OHS committee, to help design policies and practices keeping in view the needs of female project workers. In addition, GN 25.5 underscores the need for the project workers and the community to understand the roles and responsibilities, in case of an emergency. It further, places emphasis on the need for communication with other parties which are involved in the prevention, preparedness and response to any emergency situation for example, local authorities and services, so that they understand their roles and responsibilities and can identify and mobilize the resources that may be required. </w:t>
      </w:r>
    </w:p>
    <w:p w14:paraId="55B6E29B" w14:textId="77777777" w:rsidR="00267000" w:rsidRPr="00267000" w:rsidRDefault="00267000" w:rsidP="00CE0C83">
      <w:pPr>
        <w:pStyle w:val="BodyText"/>
        <w:jc w:val="both"/>
        <w:rPr>
          <w:lang w:val="en-GB"/>
        </w:rPr>
      </w:pPr>
      <w:r w:rsidRPr="00267000">
        <w:rPr>
          <w:lang w:val="en-GB"/>
        </w:rPr>
        <w:t xml:space="preserve">ESS2, paragraph 27 calls for setting up a process for “..project workers to report work situations that they believe are not safe or healthy, and to remove themselves from a work situation which they have reasonable justification to believe presents an imminent and serious danger to their life or health. Project workers who remove themselves from such situations will not be required to return to work until necessary remedial action to correct the situation has been taken. Project workers will not be retaliated against or otherwise subject to reprisal or negative action for such reporting or removal.” </w:t>
      </w:r>
    </w:p>
    <w:p w14:paraId="433AE698" w14:textId="77777777" w:rsidR="00267000" w:rsidRPr="00267000" w:rsidRDefault="00267000" w:rsidP="00CE0C83">
      <w:pPr>
        <w:pStyle w:val="BodyText"/>
        <w:jc w:val="both"/>
        <w:rPr>
          <w:lang w:val="en-GB"/>
        </w:rPr>
      </w:pPr>
      <w:r w:rsidRPr="00267000">
        <w:rPr>
          <w:lang w:val="en-GB"/>
        </w:rPr>
        <w:t>ESS2, paragraph 28 states that “Project workers will be provided with facilities appropriate to the circumstances of their work, including access to canteens, hygiene facilities, and appropriate areas for rest….” Guidance Note 28.3 elaborates the ESS2, paragraph 28 and states that, “Services provided to project workers (for example, canteen facilities, nursing facilities, or a camp store on a construction site), whether directly or through a contractor, are provided in a non-discriminatory manner, and comply with national law and EHSGs, particularly in relation to quality, security, and safety. Where there are charges to project workers for such services, these should be reasonable with reference to local market prices and, unless the context of the project makes it necessary, project workers are not required to use the services.”</w:t>
      </w:r>
    </w:p>
    <w:p w14:paraId="21B4C7C1" w14:textId="77777777" w:rsidR="00F74385" w:rsidRDefault="00267000" w:rsidP="00CE0C83">
      <w:pPr>
        <w:pStyle w:val="BodyText"/>
        <w:jc w:val="both"/>
        <w:rPr>
          <w:lang w:val="en-GB"/>
        </w:rPr>
      </w:pPr>
      <w:r w:rsidRPr="00267000">
        <w:rPr>
          <w:lang w:val="en-GB"/>
        </w:rPr>
        <w:t xml:space="preserve">While the government has yet to enact legislation on OHS per se, there are some laws on the statute books which deal with OHS through specific clauses. Some of these </w:t>
      </w:r>
      <w:r w:rsidRPr="00267000">
        <w:rPr>
          <w:lang w:val="en-GB"/>
        </w:rPr>
        <w:lastRenderedPageBreak/>
        <w:t xml:space="preserve">include: Mines Act 1923, Factories Act 1934 and Petroleum Act 1934, Shops and Establishment Ordinance, 1969, The Employment of Children Act 1991, Dock Labourer’s Act 1934, Dock Workers (Regulation </w:t>
      </w:r>
      <w:proofErr w:type="gramStart"/>
      <w:r w:rsidRPr="00267000">
        <w:rPr>
          <w:lang w:val="en-GB"/>
        </w:rPr>
        <w:t>Of</w:t>
      </w:r>
      <w:proofErr w:type="gramEnd"/>
      <w:r w:rsidRPr="00267000">
        <w:rPr>
          <w:lang w:val="en-GB"/>
        </w:rPr>
        <w:t xml:space="preserve"> Employment) Act 1974 and Road Transport Workers Ordinance, 1961. However, these acts are generally sector specific, and don’t apply to the categories of workers who would be part of this project.</w:t>
      </w:r>
    </w:p>
    <w:p w14:paraId="21B38FF3" w14:textId="6E1B6017" w:rsidR="00267000" w:rsidRPr="00267000" w:rsidRDefault="000957FD" w:rsidP="00CE0C83">
      <w:pPr>
        <w:pStyle w:val="BodyText"/>
        <w:jc w:val="both"/>
        <w:rPr>
          <w:lang w:val="en-GB"/>
        </w:rPr>
      </w:pPr>
      <w:r w:rsidRPr="000957FD">
        <w:rPr>
          <w:lang w:val="en-GB"/>
        </w:rPr>
        <w:t xml:space="preserve">COVID-19 specific Standard Operating Procedures (SOPs) shall be developed </w:t>
      </w:r>
      <w:r w:rsidR="004B7A08">
        <w:rPr>
          <w:lang w:val="en-GB"/>
        </w:rPr>
        <w:t xml:space="preserve">within </w:t>
      </w:r>
      <w:r w:rsidR="00D15E47">
        <w:rPr>
          <w:lang w:val="en-GB"/>
        </w:rPr>
        <w:t>three months of establishment of the PMU</w:t>
      </w:r>
      <w:r w:rsidRPr="000957FD">
        <w:rPr>
          <w:lang w:val="en-GB"/>
        </w:rPr>
        <w:t xml:space="preserve"> and adopted for </w:t>
      </w:r>
      <w:r w:rsidR="00D15E47">
        <w:rPr>
          <w:lang w:val="en-GB"/>
        </w:rPr>
        <w:t>w</w:t>
      </w:r>
      <w:r w:rsidRPr="000957FD">
        <w:rPr>
          <w:lang w:val="en-GB"/>
        </w:rPr>
        <w:t xml:space="preserve">orkplace </w:t>
      </w:r>
      <w:r w:rsidR="00D15E47">
        <w:rPr>
          <w:lang w:val="en-GB"/>
        </w:rPr>
        <w:t>s</w:t>
      </w:r>
      <w:r w:rsidRPr="000957FD">
        <w:rPr>
          <w:lang w:val="en-GB"/>
        </w:rPr>
        <w:t>afety</w:t>
      </w:r>
      <w:r w:rsidR="00D15E47">
        <w:rPr>
          <w:lang w:val="en-GB"/>
        </w:rPr>
        <w:t xml:space="preserve">; </w:t>
      </w:r>
      <w:r w:rsidRPr="000957FD">
        <w:rPr>
          <w:lang w:val="en-GB"/>
        </w:rPr>
        <w:t>delivery of trainings/capacity building sessions</w:t>
      </w:r>
      <w:r w:rsidR="00CB33EF">
        <w:rPr>
          <w:lang w:val="en-GB"/>
        </w:rPr>
        <w:t xml:space="preserve"> on health and safety for the PMU/SSU will be </w:t>
      </w:r>
      <w:r w:rsidR="006453BD">
        <w:rPr>
          <w:lang w:val="en-GB"/>
        </w:rPr>
        <w:t>done</w:t>
      </w:r>
      <w:r w:rsidR="00CB33EF">
        <w:rPr>
          <w:lang w:val="en-GB"/>
        </w:rPr>
        <w:t xml:space="preserve"> within three months of </w:t>
      </w:r>
      <w:r w:rsidR="00E46E5F">
        <w:rPr>
          <w:lang w:val="en-GB"/>
        </w:rPr>
        <w:t xml:space="preserve">E&amp;S </w:t>
      </w:r>
      <w:r w:rsidR="00CB33EF">
        <w:rPr>
          <w:lang w:val="en-GB"/>
        </w:rPr>
        <w:t>staff hiring</w:t>
      </w:r>
      <w:r w:rsidRPr="000957FD">
        <w:rPr>
          <w:lang w:val="en-GB"/>
        </w:rPr>
        <w:t>.</w:t>
      </w:r>
      <w:r w:rsidR="00267000" w:rsidRPr="00267000">
        <w:rPr>
          <w:lang w:val="en-GB"/>
        </w:rPr>
        <w:t xml:space="preserve">  </w:t>
      </w:r>
    </w:p>
    <w:p w14:paraId="00A61999" w14:textId="070E4DA1" w:rsidR="00267000" w:rsidRPr="00267000" w:rsidRDefault="00384219" w:rsidP="00CE0C83">
      <w:pPr>
        <w:pStyle w:val="Heading1"/>
        <w:jc w:val="both"/>
      </w:pPr>
      <w:bookmarkStart w:id="5" w:name="_Toc43117837"/>
      <w:r w:rsidRPr="00267000">
        <w:t>Responsible Staff</w:t>
      </w:r>
      <w:bookmarkEnd w:id="5"/>
    </w:p>
    <w:p w14:paraId="7F30BE85" w14:textId="758EDEDC" w:rsidR="00267000" w:rsidRPr="00267000" w:rsidRDefault="00267000" w:rsidP="00CE0C83">
      <w:pPr>
        <w:pStyle w:val="BodyText"/>
        <w:jc w:val="both"/>
        <w:rPr>
          <w:lang w:val="en-GB"/>
        </w:rPr>
      </w:pPr>
      <w:r w:rsidRPr="00267000">
        <w:rPr>
          <w:lang w:val="en-GB"/>
        </w:rPr>
        <w:t>Project implementation</w:t>
      </w:r>
      <w:r w:rsidR="00384219">
        <w:rPr>
          <w:lang w:val="en-GB"/>
        </w:rPr>
        <w:t xml:space="preserve"> entities, most notably the MOC</w:t>
      </w:r>
      <w:r w:rsidRPr="00267000">
        <w:rPr>
          <w:lang w:val="en-GB"/>
        </w:rPr>
        <w:t>, will hold prime responsibility for:</w:t>
      </w:r>
    </w:p>
    <w:p w14:paraId="76C25AE8" w14:textId="77777777" w:rsidR="00267000" w:rsidRPr="00267000" w:rsidRDefault="00267000" w:rsidP="00CE0C83">
      <w:pPr>
        <w:pStyle w:val="BodyText"/>
        <w:numPr>
          <w:ilvl w:val="1"/>
          <w:numId w:val="40"/>
        </w:numPr>
        <w:jc w:val="both"/>
        <w:rPr>
          <w:lang w:val="en-GB"/>
        </w:rPr>
      </w:pPr>
      <w:r w:rsidRPr="00267000">
        <w:rPr>
          <w:lang w:val="en-GB"/>
        </w:rPr>
        <w:t>engagement and management of project workers</w:t>
      </w:r>
    </w:p>
    <w:p w14:paraId="192674C3" w14:textId="77777777" w:rsidR="00267000" w:rsidRPr="00267000" w:rsidRDefault="00267000" w:rsidP="00CE0C83">
      <w:pPr>
        <w:pStyle w:val="BodyText"/>
        <w:numPr>
          <w:ilvl w:val="1"/>
          <w:numId w:val="40"/>
        </w:numPr>
        <w:jc w:val="both"/>
        <w:rPr>
          <w:lang w:val="en-GB"/>
        </w:rPr>
      </w:pPr>
      <w:r w:rsidRPr="00267000">
        <w:rPr>
          <w:lang w:val="en-GB"/>
        </w:rPr>
        <w:t>engagement and management of contractors/subcontractors</w:t>
      </w:r>
    </w:p>
    <w:p w14:paraId="735A27B1" w14:textId="77777777" w:rsidR="00267000" w:rsidRPr="00267000" w:rsidRDefault="00267000" w:rsidP="00CE0C83">
      <w:pPr>
        <w:pStyle w:val="BodyText"/>
        <w:numPr>
          <w:ilvl w:val="1"/>
          <w:numId w:val="40"/>
        </w:numPr>
        <w:jc w:val="both"/>
        <w:rPr>
          <w:lang w:val="en-GB"/>
        </w:rPr>
      </w:pPr>
      <w:r w:rsidRPr="00267000">
        <w:rPr>
          <w:lang w:val="en-GB"/>
        </w:rPr>
        <w:t>occupational health and safety (OHS)</w:t>
      </w:r>
    </w:p>
    <w:p w14:paraId="64B19CBF" w14:textId="77777777" w:rsidR="00267000" w:rsidRPr="00267000" w:rsidRDefault="00267000" w:rsidP="00CE0C83">
      <w:pPr>
        <w:pStyle w:val="BodyText"/>
        <w:numPr>
          <w:ilvl w:val="1"/>
          <w:numId w:val="40"/>
        </w:numPr>
        <w:jc w:val="both"/>
        <w:rPr>
          <w:lang w:val="en-GB"/>
        </w:rPr>
      </w:pPr>
      <w:r w:rsidRPr="00267000">
        <w:rPr>
          <w:lang w:val="en-GB"/>
        </w:rPr>
        <w:t>training of workers</w:t>
      </w:r>
    </w:p>
    <w:p w14:paraId="0CD73783" w14:textId="77777777" w:rsidR="00267000" w:rsidRPr="00267000" w:rsidRDefault="00267000" w:rsidP="00CE0C83">
      <w:pPr>
        <w:pStyle w:val="BodyText"/>
        <w:numPr>
          <w:ilvl w:val="1"/>
          <w:numId w:val="40"/>
        </w:numPr>
        <w:jc w:val="both"/>
        <w:rPr>
          <w:lang w:val="en-GB"/>
        </w:rPr>
      </w:pPr>
      <w:r w:rsidRPr="00267000">
        <w:rPr>
          <w:lang w:val="en-GB"/>
        </w:rPr>
        <w:t>addressing worker grievances</w:t>
      </w:r>
    </w:p>
    <w:p w14:paraId="449F86BC" w14:textId="2B96142C" w:rsidR="00267000" w:rsidRPr="00267000" w:rsidRDefault="00267000" w:rsidP="00CE0C83">
      <w:pPr>
        <w:pStyle w:val="BodyText"/>
        <w:jc w:val="both"/>
        <w:rPr>
          <w:lang w:val="en-GB"/>
        </w:rPr>
      </w:pPr>
      <w:r w:rsidRPr="00267000">
        <w:rPr>
          <w:lang w:val="en-GB"/>
        </w:rPr>
        <w:t>However, to the extent that most project workers are likely to be public servants, the service rules of the federal government will continue to be applicable to them, as will paragraphs 17-20 (Protecting the Work Force) and paragraphs 24-30 (Occupational Health and Safety) of ESS2.  They will continue to use inter-</w:t>
      </w:r>
      <w:r w:rsidR="00726D22">
        <w:rPr>
          <w:lang w:val="en-GB"/>
        </w:rPr>
        <w:t>departmental grievance redress</w:t>
      </w:r>
      <w:r w:rsidRPr="00267000">
        <w:rPr>
          <w:lang w:val="en-GB"/>
        </w:rPr>
        <w:t xml:space="preserve"> systems, and the offices of the Federal Public Services Tribunal after exhausting departmental remedies.  </w:t>
      </w:r>
    </w:p>
    <w:p w14:paraId="31814F16" w14:textId="55845B01" w:rsidR="00267000" w:rsidRPr="00267000" w:rsidRDefault="00726D22" w:rsidP="00CE0C83">
      <w:pPr>
        <w:pStyle w:val="Heading2"/>
        <w:jc w:val="both"/>
      </w:pPr>
      <w:bookmarkStart w:id="6" w:name="_Toc43117838"/>
      <w:r w:rsidRPr="00267000">
        <w:t xml:space="preserve">Policies </w:t>
      </w:r>
      <w:proofErr w:type="gramStart"/>
      <w:r w:rsidRPr="00267000">
        <w:t>And</w:t>
      </w:r>
      <w:proofErr w:type="gramEnd"/>
      <w:r w:rsidRPr="00267000">
        <w:t xml:space="preserve"> Procedures</w:t>
      </w:r>
      <w:bookmarkEnd w:id="6"/>
    </w:p>
    <w:p w14:paraId="48C3C8DF" w14:textId="77777777" w:rsidR="00267000" w:rsidRPr="00267000" w:rsidRDefault="00267000" w:rsidP="00CE0C83">
      <w:pPr>
        <w:pStyle w:val="BodyText"/>
        <w:jc w:val="both"/>
        <w:rPr>
          <w:bCs/>
        </w:rPr>
      </w:pPr>
      <w:r w:rsidRPr="00267000">
        <w:rPr>
          <w:bCs/>
        </w:rPr>
        <w:t xml:space="preserve">This project does not carry the risk of forced labor, or of child labor being employed.  Neither does it entail significant safety risks.  </w:t>
      </w:r>
    </w:p>
    <w:p w14:paraId="19FDF09A" w14:textId="68275A16" w:rsidR="00267000" w:rsidRPr="00267000" w:rsidRDefault="00726D22" w:rsidP="00CE0C83">
      <w:pPr>
        <w:pStyle w:val="Heading2"/>
        <w:jc w:val="both"/>
      </w:pPr>
      <w:bookmarkStart w:id="7" w:name="_Toc43117839"/>
      <w:r w:rsidRPr="00267000">
        <w:t xml:space="preserve">Age </w:t>
      </w:r>
      <w:proofErr w:type="gramStart"/>
      <w:r w:rsidRPr="00267000">
        <w:t>Of</w:t>
      </w:r>
      <w:proofErr w:type="gramEnd"/>
      <w:r w:rsidRPr="00267000">
        <w:t xml:space="preserve"> Employment</w:t>
      </w:r>
      <w:bookmarkEnd w:id="7"/>
    </w:p>
    <w:p w14:paraId="3E03F267" w14:textId="77777777" w:rsidR="00267000" w:rsidRPr="00267000" w:rsidRDefault="00267000" w:rsidP="00CE0C83">
      <w:pPr>
        <w:pStyle w:val="BodyText"/>
        <w:jc w:val="both"/>
        <w:rPr>
          <w:lang w:val="en-GB"/>
        </w:rPr>
      </w:pPr>
      <w:r w:rsidRPr="00267000">
        <w:rPr>
          <w:lang w:val="en-GB"/>
        </w:rPr>
        <w:t xml:space="preserve">The bulk of project staff would be civil servants for whom the minimum age of recruitment is 21 years. The contractual staff would mostly be experts in their field, who would be required to have a significant number of years of experience in their respective fields and are unlikely to be underage.  In any event, all new applicants would be required to provide evidence of educational qualifications, as well as computerized national identity cards (CNICs) which are </w:t>
      </w:r>
      <w:proofErr w:type="gramStart"/>
      <w:r w:rsidRPr="00267000">
        <w:rPr>
          <w:lang w:val="en-GB"/>
        </w:rPr>
        <w:t>sufficient</w:t>
      </w:r>
      <w:proofErr w:type="gramEnd"/>
      <w:r w:rsidRPr="00267000">
        <w:rPr>
          <w:lang w:val="en-GB"/>
        </w:rPr>
        <w:t xml:space="preserve"> to establish dates of birth. </w:t>
      </w:r>
    </w:p>
    <w:p w14:paraId="38772492" w14:textId="46B9509C" w:rsidR="00267000" w:rsidRPr="00267000" w:rsidRDefault="00726D22" w:rsidP="00CE0C83">
      <w:pPr>
        <w:pStyle w:val="Heading2"/>
        <w:jc w:val="both"/>
      </w:pPr>
      <w:bookmarkStart w:id="8" w:name="_Toc43117840"/>
      <w:r w:rsidRPr="00267000">
        <w:t xml:space="preserve">Terms </w:t>
      </w:r>
      <w:proofErr w:type="gramStart"/>
      <w:r w:rsidRPr="00267000">
        <w:t>And</w:t>
      </w:r>
      <w:proofErr w:type="gramEnd"/>
      <w:r w:rsidRPr="00267000">
        <w:t xml:space="preserve"> Conditions</w:t>
      </w:r>
      <w:bookmarkEnd w:id="8"/>
    </w:p>
    <w:p w14:paraId="4DC2D5FF" w14:textId="77777777" w:rsidR="00267000" w:rsidRPr="00267000" w:rsidRDefault="00267000" w:rsidP="00CE0C83">
      <w:pPr>
        <w:pStyle w:val="BodyText"/>
        <w:jc w:val="both"/>
        <w:rPr>
          <w:lang w:val="en-GB"/>
        </w:rPr>
      </w:pPr>
      <w:r w:rsidRPr="00267000">
        <w:rPr>
          <w:lang w:val="en-GB"/>
        </w:rPr>
        <w:t xml:space="preserve">Project workers who are civil servants will work according to the federal government’s service rules, following the timings, leave provisions etc. applicable to </w:t>
      </w:r>
      <w:r w:rsidRPr="00267000">
        <w:rPr>
          <w:lang w:val="en-GB"/>
        </w:rPr>
        <w:lastRenderedPageBreak/>
        <w:t>federal government employees.  Consultants will be employed either on MP grades or on short term contracts on terms to be determined by the project implementation entities.</w:t>
      </w:r>
    </w:p>
    <w:p w14:paraId="46987320" w14:textId="661499ED" w:rsidR="00267000" w:rsidRPr="00267000" w:rsidRDefault="00726D22" w:rsidP="00CE0C83">
      <w:pPr>
        <w:pStyle w:val="Heading1"/>
        <w:jc w:val="both"/>
      </w:pPr>
      <w:bookmarkStart w:id="9" w:name="_Toc43117841"/>
      <w:r w:rsidRPr="00267000">
        <w:t>Grievance Redress Mechanism</w:t>
      </w:r>
      <w:bookmarkEnd w:id="9"/>
    </w:p>
    <w:p w14:paraId="61856425" w14:textId="77777777" w:rsidR="00267000" w:rsidRPr="00267000" w:rsidRDefault="00267000" w:rsidP="00CE0C83">
      <w:pPr>
        <w:pStyle w:val="BodyText"/>
        <w:jc w:val="both"/>
        <w:rPr>
          <w:lang w:val="en-GB"/>
        </w:rPr>
      </w:pPr>
      <w:r w:rsidRPr="00267000">
        <w:rPr>
          <w:lang w:val="en-GB"/>
        </w:rPr>
        <w:t xml:space="preserve">A GRM system will be put in place for project workers once project management structures have been designed and finalized. The GRM systems will function from within the implementation </w:t>
      </w:r>
      <w:proofErr w:type="gramStart"/>
      <w:r w:rsidRPr="00267000">
        <w:rPr>
          <w:lang w:val="en-GB"/>
        </w:rPr>
        <w:t>units, and</w:t>
      </w:r>
      <w:proofErr w:type="gramEnd"/>
      <w:r w:rsidRPr="00267000">
        <w:rPr>
          <w:lang w:val="en-GB"/>
        </w:rPr>
        <w:t xml:space="preserve"> will be designed as per the requirements of section C of ESS 2.  The systems will be designed such that concerns are addressed promptly, processes employed are understandable and transparent, and proceedings are in a language that the complainant understands. </w:t>
      </w:r>
    </w:p>
    <w:p w14:paraId="57EBA771" w14:textId="05089AAE" w:rsidR="00267000" w:rsidRPr="00267000" w:rsidRDefault="00267000" w:rsidP="00CE0C83">
      <w:pPr>
        <w:pStyle w:val="BodyText"/>
        <w:jc w:val="both"/>
        <w:rPr>
          <w:lang w:val="en-GB"/>
        </w:rPr>
      </w:pPr>
      <w:r w:rsidRPr="00267000">
        <w:rPr>
          <w:lang w:val="en-GB"/>
        </w:rPr>
        <w:t xml:space="preserve">ESS 2 specifies that the GRM for project workers can be based on an existing GRM system, provided the latter meets the requirements of the ESS.  As it stands now, there are three forms of GRM available at the </w:t>
      </w:r>
      <w:r w:rsidR="00384219">
        <w:rPr>
          <w:lang w:val="en-GB"/>
        </w:rPr>
        <w:t>MOC</w:t>
      </w:r>
      <w:r w:rsidRPr="00267000">
        <w:rPr>
          <w:lang w:val="en-GB"/>
        </w:rPr>
        <w:t xml:space="preserve">.  Grievances of the officers of the Commerce and Trade Group are taken to the Deputy Director Commerce and Trade Group (DD-CTG); general grievances on the functioning of the Ministry are taken to the Deputy Director Administration, and the Trade and Investment Officers register grievances with designated Section Officers.  For the most part, grievances are recorded on personal files of the officers concerned, and any redress provided is also recorded </w:t>
      </w:r>
      <w:r w:rsidR="00D43998">
        <w:rPr>
          <w:lang w:val="en-GB"/>
        </w:rPr>
        <w:t>i</w:t>
      </w:r>
      <w:r w:rsidRPr="00267000">
        <w:rPr>
          <w:lang w:val="en-GB"/>
        </w:rPr>
        <w:t xml:space="preserve">n the file.  As such, the process is transparent, and is generally understood by the complainant.  If an employee is not satisfied with the process, he/she can take his/her complaint to a senior officer in the Administration Wing, who may deem fit to form an Enquiry Committee to investigate the issue.  However, these processes do not follow set patterns and there are no specific requirements on how investigations must proceed. </w:t>
      </w:r>
    </w:p>
    <w:p w14:paraId="7F885AE3" w14:textId="77777777" w:rsidR="00267000" w:rsidRPr="00267000" w:rsidRDefault="00267000" w:rsidP="00CE0C83">
      <w:pPr>
        <w:pStyle w:val="BodyText"/>
        <w:jc w:val="both"/>
        <w:rPr>
          <w:lang w:val="en-GB"/>
        </w:rPr>
      </w:pPr>
      <w:r w:rsidRPr="00267000">
        <w:rPr>
          <w:lang w:val="en-GB"/>
        </w:rPr>
        <w:t xml:space="preserve">The government employees have the option of approaching the Federal Services Tribunal, after exhausting the remedies available to them within their respective department. The Federal Employees also have the option of taking any of their grievances to the High Courts for redress, after a decision from Federal Services Tribunal. </w:t>
      </w:r>
    </w:p>
    <w:p w14:paraId="69CEFECB" w14:textId="0E08E50A" w:rsidR="00267000" w:rsidRDefault="00267000" w:rsidP="00CE0C83">
      <w:pPr>
        <w:pStyle w:val="BodyText"/>
        <w:jc w:val="both"/>
        <w:rPr>
          <w:lang w:val="en-GB"/>
        </w:rPr>
      </w:pPr>
      <w:r w:rsidRPr="006421FC">
        <w:rPr>
          <w:lang w:val="en-GB"/>
        </w:rPr>
        <w:t xml:space="preserve">Grievances of government servants, private sector workers or the general public against government employees can also be taken up through institutions such as the Ombudsman’s offices which </w:t>
      </w:r>
      <w:proofErr w:type="gramStart"/>
      <w:r w:rsidRPr="006421FC">
        <w:rPr>
          <w:lang w:val="en-GB"/>
        </w:rPr>
        <w:t>are located in</w:t>
      </w:r>
      <w:proofErr w:type="gramEnd"/>
      <w:r w:rsidRPr="006421FC">
        <w:rPr>
          <w:lang w:val="en-GB"/>
        </w:rPr>
        <w:t xml:space="preserve"> all four provinces and at the federal level. There is now also a functional Prime Minister’s complaint cell in place, known as the Citizen’s Portal, through which a complaint against a civil servant can be sent directly to the PM’s Secretariat.</w:t>
      </w:r>
      <w:r w:rsidRPr="00267000">
        <w:rPr>
          <w:lang w:val="en-GB"/>
        </w:rPr>
        <w:t xml:space="preserve"> </w:t>
      </w:r>
    </w:p>
    <w:p w14:paraId="06477592" w14:textId="5F61C29B" w:rsidR="00E427DA" w:rsidRPr="00267000" w:rsidRDefault="00E427DA" w:rsidP="009C5362">
      <w:pPr>
        <w:pStyle w:val="BodyText"/>
        <w:jc w:val="both"/>
        <w:rPr>
          <w:lang w:val="en-GB"/>
        </w:rPr>
      </w:pPr>
      <w:r w:rsidRPr="00E427DA">
        <w:rPr>
          <w:lang w:val="en-GB"/>
        </w:rPr>
        <w:t>A</w:t>
      </w:r>
      <w:r w:rsidR="009C5362">
        <w:rPr>
          <w:lang w:val="en-GB"/>
        </w:rPr>
        <w:t>s noted earlier,</w:t>
      </w:r>
      <w:r w:rsidRPr="00E427DA">
        <w:rPr>
          <w:lang w:val="en-GB"/>
        </w:rPr>
        <w:t xml:space="preserve"> </w:t>
      </w:r>
      <w:r w:rsidR="009C5362">
        <w:rPr>
          <w:lang w:val="en-GB"/>
        </w:rPr>
        <w:t xml:space="preserve">a </w:t>
      </w:r>
      <w:r w:rsidRPr="00E427DA">
        <w:rPr>
          <w:lang w:val="en-GB"/>
        </w:rPr>
        <w:t>grievance mechanism will be provided for</w:t>
      </w:r>
      <w:r>
        <w:rPr>
          <w:lang w:val="en-GB"/>
        </w:rPr>
        <w:t xml:space="preserve"> </w:t>
      </w:r>
      <w:r w:rsidRPr="00E427DA">
        <w:rPr>
          <w:lang w:val="en-GB"/>
        </w:rPr>
        <w:t>all direct workers and contracted workers (and,</w:t>
      </w:r>
      <w:r>
        <w:rPr>
          <w:lang w:val="en-GB"/>
        </w:rPr>
        <w:t xml:space="preserve"> </w:t>
      </w:r>
      <w:r w:rsidRPr="00E427DA">
        <w:rPr>
          <w:lang w:val="en-GB"/>
        </w:rPr>
        <w:t>where relevant, their organizations) to raise workplace</w:t>
      </w:r>
      <w:r>
        <w:rPr>
          <w:lang w:val="en-GB"/>
        </w:rPr>
        <w:t xml:space="preserve"> </w:t>
      </w:r>
      <w:r w:rsidRPr="00E427DA">
        <w:rPr>
          <w:lang w:val="en-GB"/>
        </w:rPr>
        <w:t>concerns. Such workers will be informed</w:t>
      </w:r>
      <w:r w:rsidR="00505A2C">
        <w:rPr>
          <w:lang w:val="en-GB"/>
        </w:rPr>
        <w:t xml:space="preserve"> </w:t>
      </w:r>
      <w:r w:rsidRPr="00E427DA">
        <w:rPr>
          <w:lang w:val="en-GB"/>
        </w:rPr>
        <w:t>of the grievance mechanism at the time of recruitment</w:t>
      </w:r>
      <w:r w:rsidR="00505A2C">
        <w:rPr>
          <w:lang w:val="en-GB"/>
        </w:rPr>
        <w:t xml:space="preserve"> </w:t>
      </w:r>
      <w:r w:rsidRPr="00E427DA">
        <w:rPr>
          <w:lang w:val="en-GB"/>
        </w:rPr>
        <w:t>and the measures put in place to protect them</w:t>
      </w:r>
      <w:r w:rsidR="00505A2C">
        <w:rPr>
          <w:lang w:val="en-GB"/>
        </w:rPr>
        <w:t xml:space="preserve"> </w:t>
      </w:r>
      <w:r w:rsidRPr="00E427DA">
        <w:rPr>
          <w:lang w:val="en-GB"/>
        </w:rPr>
        <w:t>against any reprisal for its use. Measures will be put</w:t>
      </w:r>
      <w:r w:rsidR="00505A2C">
        <w:rPr>
          <w:lang w:val="en-GB"/>
        </w:rPr>
        <w:t xml:space="preserve"> </w:t>
      </w:r>
      <w:r w:rsidRPr="00E427DA">
        <w:rPr>
          <w:lang w:val="en-GB"/>
        </w:rPr>
        <w:t>in place to make the grievance mechanism easily</w:t>
      </w:r>
      <w:r w:rsidR="00505A2C">
        <w:rPr>
          <w:lang w:val="en-GB"/>
        </w:rPr>
        <w:t xml:space="preserve"> </w:t>
      </w:r>
      <w:r w:rsidRPr="00E427DA">
        <w:rPr>
          <w:lang w:val="en-GB"/>
        </w:rPr>
        <w:t>accessible to all such project workers.</w:t>
      </w:r>
      <w:r w:rsidR="00544AFA">
        <w:rPr>
          <w:lang w:val="en-GB"/>
        </w:rPr>
        <w:t xml:space="preserve"> </w:t>
      </w:r>
      <w:r w:rsidR="009C5362" w:rsidRPr="009C5362">
        <w:rPr>
          <w:lang w:val="en-GB"/>
        </w:rPr>
        <w:t>23. The grievance mechanism will not impede</w:t>
      </w:r>
      <w:r w:rsidR="009C5362">
        <w:rPr>
          <w:lang w:val="en-GB"/>
        </w:rPr>
        <w:t xml:space="preserve"> </w:t>
      </w:r>
      <w:r w:rsidR="009C5362" w:rsidRPr="009C5362">
        <w:rPr>
          <w:lang w:val="en-GB"/>
        </w:rPr>
        <w:t>access to other judicial or administrative remedies</w:t>
      </w:r>
      <w:r w:rsidR="009C5362">
        <w:rPr>
          <w:lang w:val="en-GB"/>
        </w:rPr>
        <w:t xml:space="preserve"> </w:t>
      </w:r>
      <w:r w:rsidR="009C5362" w:rsidRPr="009C5362">
        <w:rPr>
          <w:lang w:val="en-GB"/>
        </w:rPr>
        <w:t>that might be available under the law</w:t>
      </w:r>
      <w:r w:rsidR="009C5362">
        <w:rPr>
          <w:lang w:val="en-GB"/>
        </w:rPr>
        <w:t>.</w:t>
      </w:r>
    </w:p>
    <w:p w14:paraId="52D62998" w14:textId="2F6B4DD4" w:rsidR="00267000" w:rsidRPr="00267000" w:rsidRDefault="00E81AA5" w:rsidP="00CE0C83">
      <w:pPr>
        <w:pStyle w:val="Heading1"/>
        <w:jc w:val="both"/>
      </w:pPr>
      <w:bookmarkStart w:id="10" w:name="_Toc43117842"/>
      <w:r w:rsidRPr="00267000">
        <w:lastRenderedPageBreak/>
        <w:t>Contractor Management</w:t>
      </w:r>
      <w:bookmarkEnd w:id="10"/>
      <w:r w:rsidRPr="00267000">
        <w:t> </w:t>
      </w:r>
    </w:p>
    <w:p w14:paraId="7D069A36" w14:textId="3622C952" w:rsidR="00267000" w:rsidRPr="00267000" w:rsidRDefault="00267000" w:rsidP="00CE0C83">
      <w:pPr>
        <w:pStyle w:val="BodyText"/>
        <w:jc w:val="both"/>
        <w:rPr>
          <w:lang w:val="en-GB"/>
        </w:rPr>
      </w:pPr>
      <w:r w:rsidRPr="00267000">
        <w:rPr>
          <w:lang w:val="en-GB"/>
        </w:rPr>
        <w:t xml:space="preserve">The selection and hiring of contractors by the Government are governed by Public Procurement Regulatory Authority (PPRA) rules.  The PPRA rules regarding the procurement of services cover most of the aspects as mentioned in GN 31.1, however certain areas such as OHS, safety committees, and </w:t>
      </w:r>
      <w:proofErr w:type="spellStart"/>
      <w:r w:rsidRPr="00267000">
        <w:rPr>
          <w:lang w:val="en-GB"/>
        </w:rPr>
        <w:t>labor</w:t>
      </w:r>
      <w:proofErr w:type="spellEnd"/>
      <w:r w:rsidRPr="00267000">
        <w:rPr>
          <w:lang w:val="en-GB"/>
        </w:rPr>
        <w:t xml:space="preserve"> management, safety and health workers requirements are not part of the PPRA rules. In absence of guidelines from the government, the ESS2 para</w:t>
      </w:r>
      <w:r w:rsidR="005B15EB">
        <w:rPr>
          <w:lang w:val="en-GB"/>
        </w:rPr>
        <w:t>graph</w:t>
      </w:r>
      <w:r w:rsidRPr="00267000">
        <w:rPr>
          <w:lang w:val="en-GB"/>
        </w:rPr>
        <w:t xml:space="preserve"> 31 would be taken as a benchmark.</w:t>
      </w:r>
      <w:r w:rsidR="003C1650">
        <w:rPr>
          <w:lang w:val="en-GB"/>
        </w:rPr>
        <w:t xml:space="preserve"> </w:t>
      </w:r>
      <w:r w:rsidRPr="00267000">
        <w:rPr>
          <w:lang w:val="en-GB"/>
        </w:rPr>
        <w:t xml:space="preserve"> </w:t>
      </w:r>
    </w:p>
    <w:p w14:paraId="011B2652" w14:textId="69B69F0F" w:rsidR="00267000" w:rsidRPr="00267000" w:rsidRDefault="00267000" w:rsidP="00CE0C83">
      <w:pPr>
        <w:pStyle w:val="BodyText"/>
        <w:jc w:val="both"/>
        <w:rPr>
          <w:lang w:val="en-GB"/>
        </w:rPr>
      </w:pPr>
      <w:r w:rsidRPr="00267000">
        <w:rPr>
          <w:lang w:val="en-GB"/>
        </w:rPr>
        <w:t>The Borrower</w:t>
      </w:r>
      <w:r w:rsidR="006731FC">
        <w:rPr>
          <w:lang w:val="en-GB"/>
        </w:rPr>
        <w:t>, through its SSU,</w:t>
      </w:r>
      <w:r w:rsidRPr="00267000">
        <w:rPr>
          <w:lang w:val="en-GB"/>
        </w:rPr>
        <w:t xml:space="preserve"> will establish procedures for managing and monitoring the performance of such third parties in relation to the requirements of ESS</w:t>
      </w:r>
      <w:r w:rsidR="00AB18E9">
        <w:rPr>
          <w:lang w:val="en-GB"/>
        </w:rPr>
        <w:t>2</w:t>
      </w:r>
      <w:r w:rsidRPr="00267000">
        <w:rPr>
          <w:lang w:val="en-GB"/>
        </w:rPr>
        <w:t xml:space="preserve">. </w:t>
      </w:r>
      <w:r w:rsidR="00291076" w:rsidRPr="00291076">
        <w:rPr>
          <w:lang w:val="en-GB"/>
        </w:rPr>
        <w:t>The procedures will be elaborated in the Operations Manual and will be monitored by the SSU E&amp;S Specialist</w:t>
      </w:r>
      <w:r w:rsidR="00787826">
        <w:rPr>
          <w:lang w:val="en-GB"/>
        </w:rPr>
        <w:t xml:space="preserve">. </w:t>
      </w:r>
      <w:r w:rsidRPr="00267000">
        <w:rPr>
          <w:lang w:val="en-GB"/>
        </w:rPr>
        <w:t xml:space="preserve">In addition, the Borrower will incorporate the requirements of this ESS into contractual agreements with such third parties, together with appropriate non-compliance remedies. In the case of subcontracting, the Borrower will require such third parties to include equivalent requirements and non-compliance remedies in their contractual agreements with subcontractors.” </w:t>
      </w:r>
    </w:p>
    <w:p w14:paraId="69408D97" w14:textId="0672D4E4" w:rsidR="00267000" w:rsidRPr="00267000" w:rsidRDefault="005B15EB" w:rsidP="00CE0C83">
      <w:pPr>
        <w:pStyle w:val="Heading1"/>
        <w:jc w:val="both"/>
        <w:rPr>
          <w:lang w:val="en-GB"/>
        </w:rPr>
      </w:pPr>
      <w:bookmarkStart w:id="11" w:name="_Toc43117843"/>
      <w:r w:rsidRPr="00267000">
        <w:t>Community Workers</w:t>
      </w:r>
      <w:bookmarkEnd w:id="11"/>
    </w:p>
    <w:p w14:paraId="6C84D814" w14:textId="77777777" w:rsidR="00267000" w:rsidRPr="00267000" w:rsidRDefault="00267000" w:rsidP="00CE0C83">
      <w:pPr>
        <w:pStyle w:val="BodyText"/>
        <w:jc w:val="both"/>
        <w:rPr>
          <w:lang w:val="en-GB"/>
        </w:rPr>
      </w:pPr>
      <w:r w:rsidRPr="00267000">
        <w:rPr>
          <w:lang w:val="en-GB"/>
        </w:rPr>
        <w:t>Not applicable</w:t>
      </w:r>
    </w:p>
    <w:p w14:paraId="3F627286" w14:textId="731B97DE" w:rsidR="00267000" w:rsidRPr="00267000" w:rsidRDefault="005B15EB" w:rsidP="00CE0C83">
      <w:pPr>
        <w:pStyle w:val="Heading1"/>
        <w:jc w:val="both"/>
        <w:rPr>
          <w:lang w:val="en-GB"/>
        </w:rPr>
      </w:pPr>
      <w:bookmarkStart w:id="12" w:name="_Toc43117844"/>
      <w:r w:rsidRPr="00267000">
        <w:t>Primary Supply Workers</w:t>
      </w:r>
      <w:bookmarkEnd w:id="12"/>
    </w:p>
    <w:p w14:paraId="53DF1DD4" w14:textId="4EE7CEAE" w:rsidR="002C5DA5" w:rsidRPr="002C5DA5" w:rsidRDefault="00A97EC3" w:rsidP="00CE0C83">
      <w:pPr>
        <w:pStyle w:val="BodyText"/>
        <w:jc w:val="both"/>
      </w:pPr>
      <w:r w:rsidRPr="00267000">
        <w:rPr>
          <w:lang w:val="en-GB"/>
        </w:rPr>
        <w:t xml:space="preserve">The project will include the acquisition of IT equipment and possibly software.  </w:t>
      </w:r>
      <w:r w:rsidR="00663FDE">
        <w:rPr>
          <w:lang w:val="en-GB"/>
        </w:rPr>
        <w:t>T</w:t>
      </w:r>
      <w:r w:rsidRPr="00267000">
        <w:rPr>
          <w:lang w:val="en-GB"/>
        </w:rPr>
        <w:t>hese materials are unlikely to be supplied on an ongoing basis</w:t>
      </w:r>
      <w:r w:rsidR="00663FDE">
        <w:rPr>
          <w:lang w:val="en-GB"/>
        </w:rPr>
        <w:t>, and a</w:t>
      </w:r>
      <w:r w:rsidRPr="00267000">
        <w:rPr>
          <w:lang w:val="en-GB"/>
        </w:rPr>
        <w:t xml:space="preserve">s such, the project is unlikely to have a steady stream of primary supply workers. </w:t>
      </w:r>
      <w:r w:rsidR="008A6933">
        <w:rPr>
          <w:lang w:val="en-GB"/>
        </w:rPr>
        <w:t xml:space="preserve">There is also no risk of </w:t>
      </w:r>
      <w:r w:rsidR="008A6933" w:rsidRPr="008A6933">
        <w:rPr>
          <w:lang w:val="en-GB"/>
        </w:rPr>
        <w:t xml:space="preserve">child </w:t>
      </w:r>
      <w:proofErr w:type="spellStart"/>
      <w:r w:rsidR="008A6933" w:rsidRPr="008A6933">
        <w:rPr>
          <w:lang w:val="en-GB"/>
        </w:rPr>
        <w:t>labor</w:t>
      </w:r>
      <w:proofErr w:type="spellEnd"/>
      <w:r w:rsidR="008A6933" w:rsidRPr="008A6933">
        <w:rPr>
          <w:lang w:val="en-GB"/>
        </w:rPr>
        <w:t xml:space="preserve">, forced </w:t>
      </w:r>
      <w:proofErr w:type="spellStart"/>
      <w:r w:rsidR="008A6933" w:rsidRPr="008A6933">
        <w:rPr>
          <w:lang w:val="en-GB"/>
        </w:rPr>
        <w:t>labor</w:t>
      </w:r>
      <w:proofErr w:type="spellEnd"/>
      <w:r w:rsidR="008A6933" w:rsidRPr="008A6933">
        <w:rPr>
          <w:lang w:val="en-GB"/>
        </w:rPr>
        <w:t xml:space="preserve"> </w:t>
      </w:r>
      <w:r w:rsidR="008A6933">
        <w:rPr>
          <w:lang w:val="en-GB"/>
        </w:rPr>
        <w:t>or</w:t>
      </w:r>
      <w:r w:rsidR="008A6933" w:rsidRPr="008A6933">
        <w:rPr>
          <w:lang w:val="en-GB"/>
        </w:rPr>
        <w:t xml:space="preserve"> serious safety issues</w:t>
      </w:r>
      <w:r w:rsidR="008A6933">
        <w:rPr>
          <w:lang w:val="en-GB"/>
        </w:rPr>
        <w:t xml:space="preserve"> in relation to </w:t>
      </w:r>
      <w:r w:rsidR="00941EA7">
        <w:rPr>
          <w:lang w:val="en-GB"/>
        </w:rPr>
        <w:t xml:space="preserve">the use of primary supply workers that </w:t>
      </w:r>
      <w:bookmarkStart w:id="13" w:name="_GoBack"/>
      <w:bookmarkEnd w:id="13"/>
      <w:r w:rsidR="00941EA7">
        <w:rPr>
          <w:lang w:val="en-GB"/>
        </w:rPr>
        <w:t>provide IT equipment or software.</w:t>
      </w:r>
      <w:r w:rsidRPr="00267000">
        <w:rPr>
          <w:lang w:val="en-GB"/>
        </w:rPr>
        <w:t xml:space="preserve"> </w:t>
      </w:r>
    </w:p>
    <w:sectPr w:rsidR="002C5DA5" w:rsidRPr="002C5DA5" w:rsidSect="00AB0A86">
      <w:footerReference w:type="default" r:id="rId1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C6009" w14:textId="77777777" w:rsidR="003955FE" w:rsidRDefault="003955FE">
      <w:pPr>
        <w:spacing w:after="0"/>
      </w:pPr>
      <w:r>
        <w:separator/>
      </w:r>
    </w:p>
  </w:endnote>
  <w:endnote w:type="continuationSeparator" w:id="0">
    <w:p w14:paraId="28F04D31" w14:textId="77777777" w:rsidR="003955FE" w:rsidRDefault="003955FE">
      <w:pPr>
        <w:spacing w:after="0"/>
      </w:pPr>
      <w:r>
        <w:continuationSeparator/>
      </w:r>
    </w:p>
  </w:endnote>
  <w:endnote w:type="continuationNotice" w:id="1">
    <w:p w14:paraId="6C13C320" w14:textId="77777777" w:rsidR="003955FE" w:rsidRDefault="003955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Yu Mincho">
    <w:altName w:val="Times New Roman"/>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20CEC" w14:textId="77777777" w:rsidR="00A4185F" w:rsidRDefault="00A4185F" w:rsidP="00AB0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86790D" w14:textId="77777777" w:rsidR="00A4185F" w:rsidRDefault="00A4185F" w:rsidP="003232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84FF" w14:textId="77777777" w:rsidR="00A4185F" w:rsidRPr="00FD28AF" w:rsidRDefault="00A4185F" w:rsidP="00323241">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ACEF5" w14:textId="77777777" w:rsidR="005E15AE" w:rsidRDefault="005E15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D772" w14:textId="77777777" w:rsidR="00A4185F" w:rsidRDefault="00A4185F" w:rsidP="00323241">
    <w:pPr>
      <w:pStyle w:val="Footer"/>
      <w:ind w:right="360"/>
      <w:rPr>
        <w:sz w:val="16"/>
        <w:szCs w:val="16"/>
      </w:rPr>
    </w:pPr>
  </w:p>
  <w:p w14:paraId="0713EB29" w14:textId="77777777" w:rsidR="00A4185F" w:rsidRPr="00FD28AF" w:rsidRDefault="00A4185F" w:rsidP="00323241">
    <w:pPr>
      <w:pStyle w:val="Footer"/>
      <w:ind w:right="360"/>
      <w:rPr>
        <w:sz w:val="16"/>
        <w:szCs w:val="16"/>
      </w:rPr>
    </w:pPr>
    <w:r>
      <w:rPr>
        <w:sz w:val="16"/>
        <w:szCs w:val="16"/>
      </w:rPr>
      <w:tab/>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F9D8" w14:textId="77777777" w:rsidR="00A4185F" w:rsidRDefault="00A4185F" w:rsidP="003842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3D8">
      <w:rPr>
        <w:rStyle w:val="PageNumber"/>
        <w:noProof/>
      </w:rPr>
      <w:t>1</w:t>
    </w:r>
    <w:r>
      <w:rPr>
        <w:rStyle w:val="PageNumber"/>
      </w:rPr>
      <w:fldChar w:fldCharType="end"/>
    </w:r>
  </w:p>
  <w:p w14:paraId="16518CF0" w14:textId="64F9E7D7" w:rsidR="00A4185F" w:rsidRDefault="00A4185F" w:rsidP="00323241">
    <w:pPr>
      <w:pStyle w:val="Footer"/>
      <w:ind w:right="360"/>
      <w:rPr>
        <w:sz w:val="16"/>
        <w:szCs w:val="16"/>
      </w:rPr>
    </w:pPr>
    <w:r>
      <w:rPr>
        <w:sz w:val="16"/>
        <w:szCs w:val="16"/>
      </w:rPr>
      <w:tab/>
    </w:r>
    <w:r>
      <w:rPr>
        <w:sz w:val="16"/>
        <w:szCs w:val="16"/>
      </w:rPr>
      <w:tab/>
    </w:r>
  </w:p>
  <w:p w14:paraId="519890DA" w14:textId="77777777" w:rsidR="00A4185F" w:rsidRPr="00FD28AF" w:rsidRDefault="00A4185F" w:rsidP="00323241">
    <w:pPr>
      <w:pStyle w:val="Footer"/>
      <w:ind w:right="360"/>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FBA5B" w14:textId="77777777" w:rsidR="003955FE" w:rsidRDefault="003955FE">
      <w:pPr>
        <w:spacing w:after="0"/>
      </w:pPr>
      <w:r>
        <w:separator/>
      </w:r>
    </w:p>
  </w:footnote>
  <w:footnote w:type="continuationSeparator" w:id="0">
    <w:p w14:paraId="50E36772" w14:textId="77777777" w:rsidR="003955FE" w:rsidRDefault="003955FE">
      <w:pPr>
        <w:spacing w:after="0"/>
      </w:pPr>
      <w:r>
        <w:continuationSeparator/>
      </w:r>
    </w:p>
  </w:footnote>
  <w:footnote w:type="continuationNotice" w:id="1">
    <w:p w14:paraId="274EC709" w14:textId="77777777" w:rsidR="003955FE" w:rsidRDefault="003955FE">
      <w:pPr>
        <w:spacing w:after="0"/>
      </w:pPr>
    </w:p>
  </w:footnote>
  <w:footnote w:id="2">
    <w:p w14:paraId="631446A4" w14:textId="2DF0C201" w:rsidR="00A4185F" w:rsidRPr="00164FB8" w:rsidRDefault="00A4185F" w:rsidP="00267000">
      <w:pPr>
        <w:pStyle w:val="FootnoteText"/>
      </w:pPr>
      <w:r>
        <w:rPr>
          <w:rStyle w:val="FootnoteReference"/>
        </w:rPr>
        <w:footnoteRef/>
      </w:r>
      <w:r>
        <w:t xml:space="preserve"> </w:t>
      </w:r>
      <w:r w:rsidRPr="000B3ED6">
        <w:rPr>
          <w:sz w:val="20"/>
        </w:rPr>
        <w:t>Light refurbishment will consist of, for example painting, room partitioning, etc in existing premises.</w:t>
      </w:r>
    </w:p>
  </w:footnote>
  <w:footnote w:id="3">
    <w:p w14:paraId="1BE6EBAE" w14:textId="77777777" w:rsidR="00A4185F" w:rsidRPr="009C78D3" w:rsidRDefault="00A4185F" w:rsidP="00267000">
      <w:pPr>
        <w:pStyle w:val="FootnoteText"/>
      </w:pPr>
      <w:r>
        <w:rPr>
          <w:rStyle w:val="FootnoteReference"/>
        </w:rPr>
        <w:footnoteRef/>
      </w:r>
      <w:r>
        <w:t xml:space="preserve"> MP-III is normally equivalent to BPS-20, MP-II to BPS-21 and MP-I to BPS-22.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7B1A" w14:textId="77777777" w:rsidR="005E15AE" w:rsidRDefault="005E1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C6AC" w14:textId="77777777" w:rsidR="005E15AE" w:rsidRDefault="005E1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45464" w14:textId="77777777" w:rsidR="005E15AE" w:rsidRDefault="005E1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29545C"/>
    <w:multiLevelType w:val="hybridMultilevel"/>
    <w:tmpl w:val="118A4938"/>
    <w:lvl w:ilvl="0" w:tplc="62EA101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057B86"/>
    <w:multiLevelType w:val="hybridMultilevel"/>
    <w:tmpl w:val="2FE4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B3FC1"/>
    <w:multiLevelType w:val="hybridMultilevel"/>
    <w:tmpl w:val="22B6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35DDB"/>
    <w:multiLevelType w:val="hybridMultilevel"/>
    <w:tmpl w:val="CA58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F7B19"/>
    <w:multiLevelType w:val="hybridMultilevel"/>
    <w:tmpl w:val="140A1E74"/>
    <w:lvl w:ilvl="0" w:tplc="6582CB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053DB"/>
    <w:multiLevelType w:val="hybridMultilevel"/>
    <w:tmpl w:val="6CDCA5E0"/>
    <w:lvl w:ilvl="0" w:tplc="62EA101C">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3DF0F13"/>
    <w:multiLevelType w:val="hybridMultilevel"/>
    <w:tmpl w:val="CAC69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0191B"/>
    <w:multiLevelType w:val="multilevel"/>
    <w:tmpl w:val="33C0C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AB57E0"/>
    <w:multiLevelType w:val="multilevel"/>
    <w:tmpl w:val="46569F8C"/>
    <w:lvl w:ilvl="0">
      <w:start w:val="1"/>
      <w:numFmt w:val="decimal"/>
      <w:pStyle w:val="Heading1"/>
      <w:lvlText w:val="%1."/>
      <w:lvlJc w:val="left"/>
      <w:pPr>
        <w:tabs>
          <w:tab w:val="num" w:pos="720"/>
        </w:tabs>
        <w:ind w:left="0" w:firstLine="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9CC6A3C"/>
    <w:multiLevelType w:val="hybridMultilevel"/>
    <w:tmpl w:val="A2E4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E7032"/>
    <w:multiLevelType w:val="hybridMultilevel"/>
    <w:tmpl w:val="6EC016EC"/>
    <w:lvl w:ilvl="0" w:tplc="C1467C58">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36F199C"/>
    <w:multiLevelType w:val="hybridMultilevel"/>
    <w:tmpl w:val="C80AB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9173E"/>
    <w:multiLevelType w:val="hybridMultilevel"/>
    <w:tmpl w:val="D9A8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71BAB"/>
    <w:multiLevelType w:val="hybridMultilevel"/>
    <w:tmpl w:val="2F6C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E5094"/>
    <w:multiLevelType w:val="hybridMultilevel"/>
    <w:tmpl w:val="EECA39B4"/>
    <w:lvl w:ilvl="0" w:tplc="62EA101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080D46"/>
    <w:multiLevelType w:val="hybridMultilevel"/>
    <w:tmpl w:val="33C0C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237DF"/>
    <w:multiLevelType w:val="hybridMultilevel"/>
    <w:tmpl w:val="67CC83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61000B"/>
    <w:multiLevelType w:val="hybridMultilevel"/>
    <w:tmpl w:val="B4DA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700F"/>
    <w:multiLevelType w:val="hybridMultilevel"/>
    <w:tmpl w:val="B5BC7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05E31"/>
    <w:multiLevelType w:val="hybridMultilevel"/>
    <w:tmpl w:val="AEAA26B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E61584E"/>
    <w:multiLevelType w:val="hybridMultilevel"/>
    <w:tmpl w:val="E2CE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D4392"/>
    <w:multiLevelType w:val="hybridMultilevel"/>
    <w:tmpl w:val="E9F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F2A13"/>
    <w:multiLevelType w:val="hybridMultilevel"/>
    <w:tmpl w:val="7042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B1D5E"/>
    <w:multiLevelType w:val="hybridMultilevel"/>
    <w:tmpl w:val="A8B0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67CC9"/>
    <w:multiLevelType w:val="hybridMultilevel"/>
    <w:tmpl w:val="D7E6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07BEA"/>
    <w:multiLevelType w:val="hybridMultilevel"/>
    <w:tmpl w:val="12C2E41A"/>
    <w:lvl w:ilvl="0" w:tplc="4EC2F028">
      <w:start w:val="1"/>
      <w:numFmt w:val="bullet"/>
      <w:lvlText w:val="•"/>
      <w:lvlJc w:val="left"/>
      <w:pPr>
        <w:tabs>
          <w:tab w:val="num" w:pos="720"/>
        </w:tabs>
        <w:ind w:left="720" w:hanging="360"/>
      </w:pPr>
      <w:rPr>
        <w:rFonts w:ascii="Times New Roman" w:hAnsi="Times New Roman" w:hint="default"/>
      </w:rPr>
    </w:lvl>
    <w:lvl w:ilvl="1" w:tplc="E6EA3BD4" w:tentative="1">
      <w:start w:val="1"/>
      <w:numFmt w:val="bullet"/>
      <w:lvlText w:val="•"/>
      <w:lvlJc w:val="left"/>
      <w:pPr>
        <w:tabs>
          <w:tab w:val="num" w:pos="1440"/>
        </w:tabs>
        <w:ind w:left="1440" w:hanging="360"/>
      </w:pPr>
      <w:rPr>
        <w:rFonts w:ascii="Times New Roman" w:hAnsi="Times New Roman" w:hint="default"/>
      </w:rPr>
    </w:lvl>
    <w:lvl w:ilvl="2" w:tplc="A21A3FC0" w:tentative="1">
      <w:start w:val="1"/>
      <w:numFmt w:val="bullet"/>
      <w:lvlText w:val="•"/>
      <w:lvlJc w:val="left"/>
      <w:pPr>
        <w:tabs>
          <w:tab w:val="num" w:pos="2160"/>
        </w:tabs>
        <w:ind w:left="2160" w:hanging="360"/>
      </w:pPr>
      <w:rPr>
        <w:rFonts w:ascii="Times New Roman" w:hAnsi="Times New Roman" w:hint="default"/>
      </w:rPr>
    </w:lvl>
    <w:lvl w:ilvl="3" w:tplc="289664C0" w:tentative="1">
      <w:start w:val="1"/>
      <w:numFmt w:val="bullet"/>
      <w:lvlText w:val="•"/>
      <w:lvlJc w:val="left"/>
      <w:pPr>
        <w:tabs>
          <w:tab w:val="num" w:pos="2880"/>
        </w:tabs>
        <w:ind w:left="2880" w:hanging="360"/>
      </w:pPr>
      <w:rPr>
        <w:rFonts w:ascii="Times New Roman" w:hAnsi="Times New Roman" w:hint="default"/>
      </w:rPr>
    </w:lvl>
    <w:lvl w:ilvl="4" w:tplc="96DC2414" w:tentative="1">
      <w:start w:val="1"/>
      <w:numFmt w:val="bullet"/>
      <w:lvlText w:val="•"/>
      <w:lvlJc w:val="left"/>
      <w:pPr>
        <w:tabs>
          <w:tab w:val="num" w:pos="3600"/>
        </w:tabs>
        <w:ind w:left="3600" w:hanging="360"/>
      </w:pPr>
      <w:rPr>
        <w:rFonts w:ascii="Times New Roman" w:hAnsi="Times New Roman" w:hint="default"/>
      </w:rPr>
    </w:lvl>
    <w:lvl w:ilvl="5" w:tplc="6380BDC8" w:tentative="1">
      <w:start w:val="1"/>
      <w:numFmt w:val="bullet"/>
      <w:lvlText w:val="•"/>
      <w:lvlJc w:val="left"/>
      <w:pPr>
        <w:tabs>
          <w:tab w:val="num" w:pos="4320"/>
        </w:tabs>
        <w:ind w:left="4320" w:hanging="360"/>
      </w:pPr>
      <w:rPr>
        <w:rFonts w:ascii="Times New Roman" w:hAnsi="Times New Roman" w:hint="default"/>
      </w:rPr>
    </w:lvl>
    <w:lvl w:ilvl="6" w:tplc="5A2A5780" w:tentative="1">
      <w:start w:val="1"/>
      <w:numFmt w:val="bullet"/>
      <w:lvlText w:val="•"/>
      <w:lvlJc w:val="left"/>
      <w:pPr>
        <w:tabs>
          <w:tab w:val="num" w:pos="5040"/>
        </w:tabs>
        <w:ind w:left="5040" w:hanging="360"/>
      </w:pPr>
      <w:rPr>
        <w:rFonts w:ascii="Times New Roman" w:hAnsi="Times New Roman" w:hint="default"/>
      </w:rPr>
    </w:lvl>
    <w:lvl w:ilvl="7" w:tplc="4B3EEC42" w:tentative="1">
      <w:start w:val="1"/>
      <w:numFmt w:val="bullet"/>
      <w:lvlText w:val="•"/>
      <w:lvlJc w:val="left"/>
      <w:pPr>
        <w:tabs>
          <w:tab w:val="num" w:pos="5760"/>
        </w:tabs>
        <w:ind w:left="5760" w:hanging="360"/>
      </w:pPr>
      <w:rPr>
        <w:rFonts w:ascii="Times New Roman" w:hAnsi="Times New Roman" w:hint="default"/>
      </w:rPr>
    </w:lvl>
    <w:lvl w:ilvl="8" w:tplc="5E06811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C2B46D0"/>
    <w:multiLevelType w:val="multilevel"/>
    <w:tmpl w:val="33C0C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0C058A"/>
    <w:multiLevelType w:val="singleLevel"/>
    <w:tmpl w:val="BAE8D90E"/>
    <w:name w:val="NumPa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15:restartNumberingAfterBreak="0">
    <w:nsid w:val="4F147409"/>
    <w:multiLevelType w:val="hybridMultilevel"/>
    <w:tmpl w:val="A1E8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E5659"/>
    <w:multiLevelType w:val="hybridMultilevel"/>
    <w:tmpl w:val="C32E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F77D38"/>
    <w:multiLevelType w:val="multilevel"/>
    <w:tmpl w:val="4776C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D56A81"/>
    <w:multiLevelType w:val="hybridMultilevel"/>
    <w:tmpl w:val="4316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C0AE4"/>
    <w:multiLevelType w:val="hybridMultilevel"/>
    <w:tmpl w:val="E222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454CF"/>
    <w:multiLevelType w:val="hybridMultilevel"/>
    <w:tmpl w:val="BCB86A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D936E6E"/>
    <w:multiLevelType w:val="hybridMultilevel"/>
    <w:tmpl w:val="777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1653D"/>
    <w:multiLevelType w:val="hybridMultilevel"/>
    <w:tmpl w:val="22125AD8"/>
    <w:lvl w:ilvl="0" w:tplc="62EA101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490133"/>
    <w:multiLevelType w:val="hybridMultilevel"/>
    <w:tmpl w:val="4BA43000"/>
    <w:lvl w:ilvl="0" w:tplc="9BAC902C">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046DF7"/>
    <w:multiLevelType w:val="hybridMultilevel"/>
    <w:tmpl w:val="F5AC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E5EE0"/>
    <w:multiLevelType w:val="hybridMultilevel"/>
    <w:tmpl w:val="33C0C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36DC9"/>
    <w:multiLevelType w:val="hybridMultilevel"/>
    <w:tmpl w:val="078251D8"/>
    <w:lvl w:ilvl="0" w:tplc="62EA101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17"/>
  </w:num>
  <w:num w:numId="5">
    <w:abstractNumId w:val="42"/>
  </w:num>
  <w:num w:numId="6">
    <w:abstractNumId w:val="38"/>
  </w:num>
  <w:num w:numId="7">
    <w:abstractNumId w:val="8"/>
  </w:num>
  <w:num w:numId="8">
    <w:abstractNumId w:val="14"/>
  </w:num>
  <w:num w:numId="9">
    <w:abstractNumId w:val="41"/>
  </w:num>
  <w:num w:numId="10">
    <w:abstractNumId w:val="18"/>
  </w:num>
  <w:num w:numId="11">
    <w:abstractNumId w:val="10"/>
  </w:num>
  <w:num w:numId="12">
    <w:abstractNumId w:val="29"/>
  </w:num>
  <w:num w:numId="13">
    <w:abstractNumId w:val="9"/>
  </w:num>
  <w:num w:numId="14">
    <w:abstractNumId w:val="30"/>
  </w:num>
  <w:num w:numId="15">
    <w:abstractNumId w:val="28"/>
  </w:num>
  <w:num w:numId="16">
    <w:abstractNumId w:val="0"/>
  </w:num>
  <w:num w:numId="17">
    <w:abstractNumId w:val="1"/>
  </w:num>
  <w:num w:numId="18">
    <w:abstractNumId w:val="2"/>
  </w:num>
  <w:num w:numId="19">
    <w:abstractNumId w:val="19"/>
  </w:num>
  <w:num w:numId="20">
    <w:abstractNumId w:val="34"/>
  </w:num>
  <w:num w:numId="21">
    <w:abstractNumId w:val="25"/>
  </w:num>
  <w:num w:numId="22">
    <w:abstractNumId w:val="40"/>
  </w:num>
  <w:num w:numId="23">
    <w:abstractNumId w:val="15"/>
  </w:num>
  <w:num w:numId="24">
    <w:abstractNumId w:val="16"/>
  </w:num>
  <w:num w:numId="25">
    <w:abstractNumId w:val="32"/>
  </w:num>
  <w:num w:numId="26">
    <w:abstractNumId w:val="12"/>
  </w:num>
  <w:num w:numId="27">
    <w:abstractNumId w:val="35"/>
  </w:num>
  <w:num w:numId="28">
    <w:abstractNumId w:val="23"/>
  </w:num>
  <w:num w:numId="29">
    <w:abstractNumId w:val="24"/>
  </w:num>
  <w:num w:numId="30">
    <w:abstractNumId w:val="4"/>
  </w:num>
  <w:num w:numId="31">
    <w:abstractNumId w:val="39"/>
  </w:num>
  <w:num w:numId="32">
    <w:abstractNumId w:val="5"/>
  </w:num>
  <w:num w:numId="33">
    <w:abstractNumId w:val="31"/>
  </w:num>
  <w:num w:numId="34">
    <w:abstractNumId w:val="37"/>
  </w:num>
  <w:num w:numId="35">
    <w:abstractNumId w:val="6"/>
  </w:num>
  <w:num w:numId="36">
    <w:abstractNumId w:val="20"/>
  </w:num>
  <w:num w:numId="37">
    <w:abstractNumId w:val="26"/>
  </w:num>
  <w:num w:numId="38">
    <w:abstractNumId w:val="3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7"/>
  </w:num>
  <w:num w:numId="42">
    <w:abstractNumId w:val="7"/>
  </w:num>
  <w:num w:numId="4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F3"/>
    <w:rsid w:val="00000949"/>
    <w:rsid w:val="000104DB"/>
    <w:rsid w:val="000115CA"/>
    <w:rsid w:val="00012554"/>
    <w:rsid w:val="00013D0B"/>
    <w:rsid w:val="000140FD"/>
    <w:rsid w:val="000161BE"/>
    <w:rsid w:val="0001727F"/>
    <w:rsid w:val="00017E9E"/>
    <w:rsid w:val="00024894"/>
    <w:rsid w:val="000258E6"/>
    <w:rsid w:val="000361BF"/>
    <w:rsid w:val="000415D1"/>
    <w:rsid w:val="0004421A"/>
    <w:rsid w:val="00045B59"/>
    <w:rsid w:val="00050BAF"/>
    <w:rsid w:val="00053BEB"/>
    <w:rsid w:val="00062460"/>
    <w:rsid w:val="00064AEA"/>
    <w:rsid w:val="0006553A"/>
    <w:rsid w:val="00065A5C"/>
    <w:rsid w:val="000666B0"/>
    <w:rsid w:val="0007057C"/>
    <w:rsid w:val="00070D13"/>
    <w:rsid w:val="000710F2"/>
    <w:rsid w:val="00072D85"/>
    <w:rsid w:val="00077070"/>
    <w:rsid w:val="00080B30"/>
    <w:rsid w:val="00083189"/>
    <w:rsid w:val="000871A4"/>
    <w:rsid w:val="00087645"/>
    <w:rsid w:val="00091394"/>
    <w:rsid w:val="00092AE8"/>
    <w:rsid w:val="00094485"/>
    <w:rsid w:val="000957FD"/>
    <w:rsid w:val="000A0A83"/>
    <w:rsid w:val="000A3386"/>
    <w:rsid w:val="000C0A6A"/>
    <w:rsid w:val="000C18AF"/>
    <w:rsid w:val="000D3E84"/>
    <w:rsid w:val="000D53A7"/>
    <w:rsid w:val="000E4C12"/>
    <w:rsid w:val="000E64EF"/>
    <w:rsid w:val="000F51F9"/>
    <w:rsid w:val="000F6CB3"/>
    <w:rsid w:val="00102C39"/>
    <w:rsid w:val="00104A78"/>
    <w:rsid w:val="0011551C"/>
    <w:rsid w:val="00124AA9"/>
    <w:rsid w:val="00126B93"/>
    <w:rsid w:val="00132867"/>
    <w:rsid w:val="0013499B"/>
    <w:rsid w:val="00145874"/>
    <w:rsid w:val="00150C5A"/>
    <w:rsid w:val="00160035"/>
    <w:rsid w:val="001620F1"/>
    <w:rsid w:val="00163AC2"/>
    <w:rsid w:val="00166E7D"/>
    <w:rsid w:val="00167667"/>
    <w:rsid w:val="00167EF7"/>
    <w:rsid w:val="00171FE7"/>
    <w:rsid w:val="0017331E"/>
    <w:rsid w:val="0017501B"/>
    <w:rsid w:val="0018120F"/>
    <w:rsid w:val="00185E7C"/>
    <w:rsid w:val="00197CBE"/>
    <w:rsid w:val="001A031C"/>
    <w:rsid w:val="001A0877"/>
    <w:rsid w:val="001A53B2"/>
    <w:rsid w:val="001B0F22"/>
    <w:rsid w:val="001B1BBA"/>
    <w:rsid w:val="001B2700"/>
    <w:rsid w:val="001C0DA7"/>
    <w:rsid w:val="001C549B"/>
    <w:rsid w:val="001D2DF7"/>
    <w:rsid w:val="001E6969"/>
    <w:rsid w:val="001F1449"/>
    <w:rsid w:val="001F57C7"/>
    <w:rsid w:val="0020298E"/>
    <w:rsid w:val="00204DE4"/>
    <w:rsid w:val="002064E3"/>
    <w:rsid w:val="00215790"/>
    <w:rsid w:val="00215DD8"/>
    <w:rsid w:val="0021765A"/>
    <w:rsid w:val="0022081D"/>
    <w:rsid w:val="00223738"/>
    <w:rsid w:val="00230301"/>
    <w:rsid w:val="00243A0E"/>
    <w:rsid w:val="00247744"/>
    <w:rsid w:val="00256C91"/>
    <w:rsid w:val="00260763"/>
    <w:rsid w:val="00260BF2"/>
    <w:rsid w:val="00260DA2"/>
    <w:rsid w:val="00262648"/>
    <w:rsid w:val="00264A7D"/>
    <w:rsid w:val="00267000"/>
    <w:rsid w:val="00267C59"/>
    <w:rsid w:val="0028214C"/>
    <w:rsid w:val="00284AAA"/>
    <w:rsid w:val="00290024"/>
    <w:rsid w:val="00291076"/>
    <w:rsid w:val="002A3CBE"/>
    <w:rsid w:val="002A3FB4"/>
    <w:rsid w:val="002A756F"/>
    <w:rsid w:val="002B00CE"/>
    <w:rsid w:val="002B739A"/>
    <w:rsid w:val="002C2E91"/>
    <w:rsid w:val="002C4131"/>
    <w:rsid w:val="002C5DA5"/>
    <w:rsid w:val="002D6D30"/>
    <w:rsid w:val="002D7060"/>
    <w:rsid w:val="002E62F9"/>
    <w:rsid w:val="002F1A37"/>
    <w:rsid w:val="002F3D6C"/>
    <w:rsid w:val="002F7A18"/>
    <w:rsid w:val="00305DA0"/>
    <w:rsid w:val="00315995"/>
    <w:rsid w:val="00321FD0"/>
    <w:rsid w:val="00323241"/>
    <w:rsid w:val="00323D67"/>
    <w:rsid w:val="00337BBF"/>
    <w:rsid w:val="00337FB6"/>
    <w:rsid w:val="00346333"/>
    <w:rsid w:val="00347A03"/>
    <w:rsid w:val="0035047F"/>
    <w:rsid w:val="00354BCB"/>
    <w:rsid w:val="00354CA6"/>
    <w:rsid w:val="00361A82"/>
    <w:rsid w:val="00376BD0"/>
    <w:rsid w:val="00377889"/>
    <w:rsid w:val="00384219"/>
    <w:rsid w:val="00384506"/>
    <w:rsid w:val="003855CD"/>
    <w:rsid w:val="00386CBE"/>
    <w:rsid w:val="00387B7E"/>
    <w:rsid w:val="00387D61"/>
    <w:rsid w:val="003955FE"/>
    <w:rsid w:val="003A11BE"/>
    <w:rsid w:val="003A2D9A"/>
    <w:rsid w:val="003A3CF3"/>
    <w:rsid w:val="003A5230"/>
    <w:rsid w:val="003A650B"/>
    <w:rsid w:val="003B4EA9"/>
    <w:rsid w:val="003B55D2"/>
    <w:rsid w:val="003B5C7A"/>
    <w:rsid w:val="003B656F"/>
    <w:rsid w:val="003C1650"/>
    <w:rsid w:val="003C2360"/>
    <w:rsid w:val="003C5384"/>
    <w:rsid w:val="003E21FF"/>
    <w:rsid w:val="003E60F5"/>
    <w:rsid w:val="003E6DDF"/>
    <w:rsid w:val="003F3A22"/>
    <w:rsid w:val="003F3C7B"/>
    <w:rsid w:val="003F461E"/>
    <w:rsid w:val="003F4784"/>
    <w:rsid w:val="0040581A"/>
    <w:rsid w:val="00413352"/>
    <w:rsid w:val="00414087"/>
    <w:rsid w:val="00421913"/>
    <w:rsid w:val="00426C89"/>
    <w:rsid w:val="00434D80"/>
    <w:rsid w:val="00440AB4"/>
    <w:rsid w:val="00444464"/>
    <w:rsid w:val="004445EA"/>
    <w:rsid w:val="00445087"/>
    <w:rsid w:val="0044729E"/>
    <w:rsid w:val="00452D86"/>
    <w:rsid w:val="00453A12"/>
    <w:rsid w:val="004579D8"/>
    <w:rsid w:val="00464F22"/>
    <w:rsid w:val="00466D94"/>
    <w:rsid w:val="004746A8"/>
    <w:rsid w:val="00474E6B"/>
    <w:rsid w:val="00490F72"/>
    <w:rsid w:val="004918DA"/>
    <w:rsid w:val="00491F8A"/>
    <w:rsid w:val="00493FF5"/>
    <w:rsid w:val="00495ACC"/>
    <w:rsid w:val="004967CE"/>
    <w:rsid w:val="004A0EFF"/>
    <w:rsid w:val="004A1186"/>
    <w:rsid w:val="004A27AF"/>
    <w:rsid w:val="004A3B81"/>
    <w:rsid w:val="004A4F37"/>
    <w:rsid w:val="004A665B"/>
    <w:rsid w:val="004B015D"/>
    <w:rsid w:val="004B2847"/>
    <w:rsid w:val="004B3AB2"/>
    <w:rsid w:val="004B50E9"/>
    <w:rsid w:val="004B58B4"/>
    <w:rsid w:val="004B7A08"/>
    <w:rsid w:val="004C19E9"/>
    <w:rsid w:val="004C26A7"/>
    <w:rsid w:val="004D35E4"/>
    <w:rsid w:val="004D392D"/>
    <w:rsid w:val="004D52BB"/>
    <w:rsid w:val="004D77AF"/>
    <w:rsid w:val="004E05AC"/>
    <w:rsid w:val="004E27EF"/>
    <w:rsid w:val="004E4957"/>
    <w:rsid w:val="004F008D"/>
    <w:rsid w:val="004F27AB"/>
    <w:rsid w:val="005005C6"/>
    <w:rsid w:val="005018DB"/>
    <w:rsid w:val="005034D9"/>
    <w:rsid w:val="00505A2C"/>
    <w:rsid w:val="0050767F"/>
    <w:rsid w:val="00507E55"/>
    <w:rsid w:val="005140EC"/>
    <w:rsid w:val="00516476"/>
    <w:rsid w:val="0051797C"/>
    <w:rsid w:val="00522BC2"/>
    <w:rsid w:val="00523A29"/>
    <w:rsid w:val="00523AE5"/>
    <w:rsid w:val="005272D7"/>
    <w:rsid w:val="00531DDD"/>
    <w:rsid w:val="00533058"/>
    <w:rsid w:val="00536F6E"/>
    <w:rsid w:val="00544572"/>
    <w:rsid w:val="00544AFA"/>
    <w:rsid w:val="005463AD"/>
    <w:rsid w:val="00553FC6"/>
    <w:rsid w:val="00554B6C"/>
    <w:rsid w:val="005643F2"/>
    <w:rsid w:val="00565304"/>
    <w:rsid w:val="005671CA"/>
    <w:rsid w:val="00570009"/>
    <w:rsid w:val="00587C3C"/>
    <w:rsid w:val="005944C1"/>
    <w:rsid w:val="00597722"/>
    <w:rsid w:val="005A430B"/>
    <w:rsid w:val="005A58DD"/>
    <w:rsid w:val="005B15EB"/>
    <w:rsid w:val="005B5880"/>
    <w:rsid w:val="005B6FB2"/>
    <w:rsid w:val="005C094B"/>
    <w:rsid w:val="005C2C23"/>
    <w:rsid w:val="005C7A1B"/>
    <w:rsid w:val="005D3331"/>
    <w:rsid w:val="005D4A8C"/>
    <w:rsid w:val="005E15AE"/>
    <w:rsid w:val="005E2991"/>
    <w:rsid w:val="005E4B38"/>
    <w:rsid w:val="005F4C75"/>
    <w:rsid w:val="005F6D39"/>
    <w:rsid w:val="005F732A"/>
    <w:rsid w:val="00601208"/>
    <w:rsid w:val="00606F4D"/>
    <w:rsid w:val="00606F7F"/>
    <w:rsid w:val="00607087"/>
    <w:rsid w:val="006078ED"/>
    <w:rsid w:val="00612353"/>
    <w:rsid w:val="00613A2B"/>
    <w:rsid w:val="00613F25"/>
    <w:rsid w:val="00624C84"/>
    <w:rsid w:val="006302A2"/>
    <w:rsid w:val="00634F07"/>
    <w:rsid w:val="00635DE2"/>
    <w:rsid w:val="006362AF"/>
    <w:rsid w:val="00637192"/>
    <w:rsid w:val="00641E8D"/>
    <w:rsid w:val="006421FC"/>
    <w:rsid w:val="00642C3C"/>
    <w:rsid w:val="006445FD"/>
    <w:rsid w:val="006453BD"/>
    <w:rsid w:val="006524D4"/>
    <w:rsid w:val="00655017"/>
    <w:rsid w:val="006550AE"/>
    <w:rsid w:val="00663FDE"/>
    <w:rsid w:val="0066566F"/>
    <w:rsid w:val="006731FC"/>
    <w:rsid w:val="00673974"/>
    <w:rsid w:val="00681927"/>
    <w:rsid w:val="00690964"/>
    <w:rsid w:val="00692D40"/>
    <w:rsid w:val="00696765"/>
    <w:rsid w:val="006A4F6C"/>
    <w:rsid w:val="006B0BFB"/>
    <w:rsid w:val="006B709E"/>
    <w:rsid w:val="006C0122"/>
    <w:rsid w:val="006C2D2D"/>
    <w:rsid w:val="006C31D7"/>
    <w:rsid w:val="006C43D9"/>
    <w:rsid w:val="006D2B70"/>
    <w:rsid w:val="006D5FA8"/>
    <w:rsid w:val="006E13A1"/>
    <w:rsid w:val="006E23FD"/>
    <w:rsid w:val="006E315C"/>
    <w:rsid w:val="006E4681"/>
    <w:rsid w:val="006F57E4"/>
    <w:rsid w:val="006F6591"/>
    <w:rsid w:val="0070332E"/>
    <w:rsid w:val="0070370E"/>
    <w:rsid w:val="0071029F"/>
    <w:rsid w:val="007111DF"/>
    <w:rsid w:val="007145F2"/>
    <w:rsid w:val="00721FFB"/>
    <w:rsid w:val="007224B9"/>
    <w:rsid w:val="007228FE"/>
    <w:rsid w:val="00726D22"/>
    <w:rsid w:val="007362B5"/>
    <w:rsid w:val="007442EB"/>
    <w:rsid w:val="0074763D"/>
    <w:rsid w:val="00750C59"/>
    <w:rsid w:val="007550EE"/>
    <w:rsid w:val="00756E1E"/>
    <w:rsid w:val="00756EAA"/>
    <w:rsid w:val="007578B8"/>
    <w:rsid w:val="00765A6D"/>
    <w:rsid w:val="00766592"/>
    <w:rsid w:val="007762AB"/>
    <w:rsid w:val="0077713B"/>
    <w:rsid w:val="0078219D"/>
    <w:rsid w:val="007836B1"/>
    <w:rsid w:val="0078439A"/>
    <w:rsid w:val="00786670"/>
    <w:rsid w:val="00787826"/>
    <w:rsid w:val="007906E8"/>
    <w:rsid w:val="007933ED"/>
    <w:rsid w:val="007B3C4E"/>
    <w:rsid w:val="007B58F1"/>
    <w:rsid w:val="007B7CAA"/>
    <w:rsid w:val="007C1341"/>
    <w:rsid w:val="007C44B8"/>
    <w:rsid w:val="007C476D"/>
    <w:rsid w:val="007C5424"/>
    <w:rsid w:val="007D45D7"/>
    <w:rsid w:val="007E1BD4"/>
    <w:rsid w:val="007E1CB0"/>
    <w:rsid w:val="008003C7"/>
    <w:rsid w:val="0080118B"/>
    <w:rsid w:val="008073F6"/>
    <w:rsid w:val="008145E7"/>
    <w:rsid w:val="00814CAD"/>
    <w:rsid w:val="008150C4"/>
    <w:rsid w:val="00816A13"/>
    <w:rsid w:val="00820CC8"/>
    <w:rsid w:val="00826551"/>
    <w:rsid w:val="008320B4"/>
    <w:rsid w:val="00835F79"/>
    <w:rsid w:val="00836630"/>
    <w:rsid w:val="008369E6"/>
    <w:rsid w:val="00837AB8"/>
    <w:rsid w:val="00841DCE"/>
    <w:rsid w:val="00843597"/>
    <w:rsid w:val="00843CBB"/>
    <w:rsid w:val="00843EA7"/>
    <w:rsid w:val="00844CA0"/>
    <w:rsid w:val="0084631A"/>
    <w:rsid w:val="00847075"/>
    <w:rsid w:val="00860F14"/>
    <w:rsid w:val="00863FCE"/>
    <w:rsid w:val="00872451"/>
    <w:rsid w:val="00872B34"/>
    <w:rsid w:val="008731C4"/>
    <w:rsid w:val="00873C46"/>
    <w:rsid w:val="008741DE"/>
    <w:rsid w:val="00882BE4"/>
    <w:rsid w:val="0088570D"/>
    <w:rsid w:val="008A25C4"/>
    <w:rsid w:val="008A6933"/>
    <w:rsid w:val="008A6F98"/>
    <w:rsid w:val="008A751A"/>
    <w:rsid w:val="008B027F"/>
    <w:rsid w:val="008B64EC"/>
    <w:rsid w:val="008C066A"/>
    <w:rsid w:val="008C0BA0"/>
    <w:rsid w:val="008C36A3"/>
    <w:rsid w:val="008C3D6B"/>
    <w:rsid w:val="008C474C"/>
    <w:rsid w:val="008C6DA1"/>
    <w:rsid w:val="008D5C2F"/>
    <w:rsid w:val="008D6282"/>
    <w:rsid w:val="008E2D2A"/>
    <w:rsid w:val="008E40C1"/>
    <w:rsid w:val="008E68F6"/>
    <w:rsid w:val="008F3F38"/>
    <w:rsid w:val="00901E8E"/>
    <w:rsid w:val="00902C11"/>
    <w:rsid w:val="009044DD"/>
    <w:rsid w:val="00914EED"/>
    <w:rsid w:val="009152E6"/>
    <w:rsid w:val="00921E2E"/>
    <w:rsid w:val="00932CB3"/>
    <w:rsid w:val="00932DBA"/>
    <w:rsid w:val="009348CD"/>
    <w:rsid w:val="0093665F"/>
    <w:rsid w:val="00936EC4"/>
    <w:rsid w:val="009413FA"/>
    <w:rsid w:val="00941EA7"/>
    <w:rsid w:val="00942AF9"/>
    <w:rsid w:val="009442DF"/>
    <w:rsid w:val="00961087"/>
    <w:rsid w:val="00972E69"/>
    <w:rsid w:val="00973684"/>
    <w:rsid w:val="009808E5"/>
    <w:rsid w:val="00982D0D"/>
    <w:rsid w:val="009932DF"/>
    <w:rsid w:val="009A036C"/>
    <w:rsid w:val="009A2410"/>
    <w:rsid w:val="009A2DA6"/>
    <w:rsid w:val="009A3755"/>
    <w:rsid w:val="009B3621"/>
    <w:rsid w:val="009C5362"/>
    <w:rsid w:val="009D2C10"/>
    <w:rsid w:val="009D79F3"/>
    <w:rsid w:val="009E0D6B"/>
    <w:rsid w:val="009E57E2"/>
    <w:rsid w:val="009E5A7E"/>
    <w:rsid w:val="009E5E2D"/>
    <w:rsid w:val="009E6362"/>
    <w:rsid w:val="009E6E63"/>
    <w:rsid w:val="009F28D4"/>
    <w:rsid w:val="009F290A"/>
    <w:rsid w:val="009F3B8D"/>
    <w:rsid w:val="009F5B66"/>
    <w:rsid w:val="00A028B3"/>
    <w:rsid w:val="00A042BF"/>
    <w:rsid w:val="00A0495A"/>
    <w:rsid w:val="00A126CA"/>
    <w:rsid w:val="00A164E4"/>
    <w:rsid w:val="00A16C5F"/>
    <w:rsid w:val="00A20696"/>
    <w:rsid w:val="00A22BE0"/>
    <w:rsid w:val="00A2326F"/>
    <w:rsid w:val="00A257BB"/>
    <w:rsid w:val="00A34D12"/>
    <w:rsid w:val="00A34EFE"/>
    <w:rsid w:val="00A355BF"/>
    <w:rsid w:val="00A35766"/>
    <w:rsid w:val="00A35DA9"/>
    <w:rsid w:val="00A36DFD"/>
    <w:rsid w:val="00A417D4"/>
    <w:rsid w:val="00A4185F"/>
    <w:rsid w:val="00A45E7E"/>
    <w:rsid w:val="00A4600A"/>
    <w:rsid w:val="00A47039"/>
    <w:rsid w:val="00A50348"/>
    <w:rsid w:val="00A5120B"/>
    <w:rsid w:val="00A608A3"/>
    <w:rsid w:val="00A61621"/>
    <w:rsid w:val="00A61F03"/>
    <w:rsid w:val="00A6545B"/>
    <w:rsid w:val="00A717FD"/>
    <w:rsid w:val="00A7763F"/>
    <w:rsid w:val="00A77912"/>
    <w:rsid w:val="00A83F23"/>
    <w:rsid w:val="00A87CBB"/>
    <w:rsid w:val="00A97EC3"/>
    <w:rsid w:val="00AA083D"/>
    <w:rsid w:val="00AA32EF"/>
    <w:rsid w:val="00AA7943"/>
    <w:rsid w:val="00AA7C6F"/>
    <w:rsid w:val="00AB025F"/>
    <w:rsid w:val="00AB0A86"/>
    <w:rsid w:val="00AB0D02"/>
    <w:rsid w:val="00AB18E9"/>
    <w:rsid w:val="00AB3972"/>
    <w:rsid w:val="00AB692D"/>
    <w:rsid w:val="00AC0CEF"/>
    <w:rsid w:val="00AC0FF3"/>
    <w:rsid w:val="00AC1532"/>
    <w:rsid w:val="00AC5289"/>
    <w:rsid w:val="00AC5654"/>
    <w:rsid w:val="00AC6FB1"/>
    <w:rsid w:val="00AC7030"/>
    <w:rsid w:val="00AC786B"/>
    <w:rsid w:val="00AC78BA"/>
    <w:rsid w:val="00AD79D2"/>
    <w:rsid w:val="00AE4430"/>
    <w:rsid w:val="00AE5EFD"/>
    <w:rsid w:val="00AE7BBD"/>
    <w:rsid w:val="00AF5AF8"/>
    <w:rsid w:val="00B018AF"/>
    <w:rsid w:val="00B03E43"/>
    <w:rsid w:val="00B0552F"/>
    <w:rsid w:val="00B06A1E"/>
    <w:rsid w:val="00B11B0D"/>
    <w:rsid w:val="00B234B6"/>
    <w:rsid w:val="00B23A1D"/>
    <w:rsid w:val="00B25793"/>
    <w:rsid w:val="00B315D4"/>
    <w:rsid w:val="00B320E7"/>
    <w:rsid w:val="00B33CAB"/>
    <w:rsid w:val="00B3705B"/>
    <w:rsid w:val="00B44E56"/>
    <w:rsid w:val="00B50C85"/>
    <w:rsid w:val="00B71A16"/>
    <w:rsid w:val="00B7396F"/>
    <w:rsid w:val="00B7622B"/>
    <w:rsid w:val="00B76A66"/>
    <w:rsid w:val="00B80CB4"/>
    <w:rsid w:val="00B83DBE"/>
    <w:rsid w:val="00B849F0"/>
    <w:rsid w:val="00B85A22"/>
    <w:rsid w:val="00B90EBE"/>
    <w:rsid w:val="00B94E97"/>
    <w:rsid w:val="00B97867"/>
    <w:rsid w:val="00BA028E"/>
    <w:rsid w:val="00BA3084"/>
    <w:rsid w:val="00BB20BB"/>
    <w:rsid w:val="00BB7B38"/>
    <w:rsid w:val="00BC576F"/>
    <w:rsid w:val="00BC7896"/>
    <w:rsid w:val="00BD7176"/>
    <w:rsid w:val="00BE096A"/>
    <w:rsid w:val="00BE23DE"/>
    <w:rsid w:val="00BE569A"/>
    <w:rsid w:val="00BF556C"/>
    <w:rsid w:val="00BF55CF"/>
    <w:rsid w:val="00BF6635"/>
    <w:rsid w:val="00C00DA6"/>
    <w:rsid w:val="00C05196"/>
    <w:rsid w:val="00C05A12"/>
    <w:rsid w:val="00C05ECD"/>
    <w:rsid w:val="00C0766B"/>
    <w:rsid w:val="00C224E3"/>
    <w:rsid w:val="00C27902"/>
    <w:rsid w:val="00C31193"/>
    <w:rsid w:val="00C35D74"/>
    <w:rsid w:val="00C416B8"/>
    <w:rsid w:val="00C43CBF"/>
    <w:rsid w:val="00C47C76"/>
    <w:rsid w:val="00C52C2B"/>
    <w:rsid w:val="00C618C1"/>
    <w:rsid w:val="00C62A1C"/>
    <w:rsid w:val="00C71B6A"/>
    <w:rsid w:val="00C72944"/>
    <w:rsid w:val="00C75F2A"/>
    <w:rsid w:val="00C76F4D"/>
    <w:rsid w:val="00C84B85"/>
    <w:rsid w:val="00C86DDD"/>
    <w:rsid w:val="00C94210"/>
    <w:rsid w:val="00C97C39"/>
    <w:rsid w:val="00CA0DC0"/>
    <w:rsid w:val="00CA56B5"/>
    <w:rsid w:val="00CA6F85"/>
    <w:rsid w:val="00CB02D9"/>
    <w:rsid w:val="00CB0ACA"/>
    <w:rsid w:val="00CB21BF"/>
    <w:rsid w:val="00CB2AC5"/>
    <w:rsid w:val="00CB33EF"/>
    <w:rsid w:val="00CB38A7"/>
    <w:rsid w:val="00CB62F1"/>
    <w:rsid w:val="00CB7155"/>
    <w:rsid w:val="00CB7382"/>
    <w:rsid w:val="00CC19E9"/>
    <w:rsid w:val="00CC2BE4"/>
    <w:rsid w:val="00CC3BF6"/>
    <w:rsid w:val="00CC68CF"/>
    <w:rsid w:val="00CC7B09"/>
    <w:rsid w:val="00CD0A9C"/>
    <w:rsid w:val="00CD1F6E"/>
    <w:rsid w:val="00CD5B78"/>
    <w:rsid w:val="00CD733A"/>
    <w:rsid w:val="00CD798C"/>
    <w:rsid w:val="00CE0059"/>
    <w:rsid w:val="00CE0C83"/>
    <w:rsid w:val="00CE1DB9"/>
    <w:rsid w:val="00CE4CAC"/>
    <w:rsid w:val="00CE570C"/>
    <w:rsid w:val="00CE7FC7"/>
    <w:rsid w:val="00CF6B9A"/>
    <w:rsid w:val="00D015F9"/>
    <w:rsid w:val="00D060AF"/>
    <w:rsid w:val="00D06134"/>
    <w:rsid w:val="00D11F7D"/>
    <w:rsid w:val="00D12EE2"/>
    <w:rsid w:val="00D13A88"/>
    <w:rsid w:val="00D15E47"/>
    <w:rsid w:val="00D22FB5"/>
    <w:rsid w:val="00D27414"/>
    <w:rsid w:val="00D3501A"/>
    <w:rsid w:val="00D35A13"/>
    <w:rsid w:val="00D40BE7"/>
    <w:rsid w:val="00D43998"/>
    <w:rsid w:val="00D50D80"/>
    <w:rsid w:val="00D52078"/>
    <w:rsid w:val="00D64838"/>
    <w:rsid w:val="00D70965"/>
    <w:rsid w:val="00D75B82"/>
    <w:rsid w:val="00D81D6A"/>
    <w:rsid w:val="00D83AF9"/>
    <w:rsid w:val="00D846E8"/>
    <w:rsid w:val="00D847BD"/>
    <w:rsid w:val="00D95049"/>
    <w:rsid w:val="00D97C65"/>
    <w:rsid w:val="00DA347B"/>
    <w:rsid w:val="00DA4C57"/>
    <w:rsid w:val="00DA74C5"/>
    <w:rsid w:val="00DA778F"/>
    <w:rsid w:val="00DB4940"/>
    <w:rsid w:val="00DB6A39"/>
    <w:rsid w:val="00DC2492"/>
    <w:rsid w:val="00DC7D28"/>
    <w:rsid w:val="00DD2C80"/>
    <w:rsid w:val="00DD67A5"/>
    <w:rsid w:val="00DE6568"/>
    <w:rsid w:val="00E00119"/>
    <w:rsid w:val="00E01334"/>
    <w:rsid w:val="00E060A9"/>
    <w:rsid w:val="00E062C2"/>
    <w:rsid w:val="00E06D9C"/>
    <w:rsid w:val="00E071E8"/>
    <w:rsid w:val="00E10883"/>
    <w:rsid w:val="00E11F1F"/>
    <w:rsid w:val="00E12A2B"/>
    <w:rsid w:val="00E13C92"/>
    <w:rsid w:val="00E15A9C"/>
    <w:rsid w:val="00E20C94"/>
    <w:rsid w:val="00E21E87"/>
    <w:rsid w:val="00E22A99"/>
    <w:rsid w:val="00E427DA"/>
    <w:rsid w:val="00E44B7B"/>
    <w:rsid w:val="00E46E5F"/>
    <w:rsid w:val="00E5553C"/>
    <w:rsid w:val="00E63B6B"/>
    <w:rsid w:val="00E64E8D"/>
    <w:rsid w:val="00E65DB7"/>
    <w:rsid w:val="00E67356"/>
    <w:rsid w:val="00E73334"/>
    <w:rsid w:val="00E81AA5"/>
    <w:rsid w:val="00E83365"/>
    <w:rsid w:val="00E91308"/>
    <w:rsid w:val="00E92CAD"/>
    <w:rsid w:val="00E95B14"/>
    <w:rsid w:val="00E969F5"/>
    <w:rsid w:val="00E96F0B"/>
    <w:rsid w:val="00EA0201"/>
    <w:rsid w:val="00EA3EFD"/>
    <w:rsid w:val="00EA67D9"/>
    <w:rsid w:val="00EB3D2C"/>
    <w:rsid w:val="00EB56CA"/>
    <w:rsid w:val="00EB6152"/>
    <w:rsid w:val="00EB61E7"/>
    <w:rsid w:val="00ED2789"/>
    <w:rsid w:val="00ED3654"/>
    <w:rsid w:val="00ED53CF"/>
    <w:rsid w:val="00EE0A87"/>
    <w:rsid w:val="00EE1C75"/>
    <w:rsid w:val="00EE4100"/>
    <w:rsid w:val="00EE43BF"/>
    <w:rsid w:val="00EE521C"/>
    <w:rsid w:val="00EF2F6E"/>
    <w:rsid w:val="00EF3074"/>
    <w:rsid w:val="00EF43F9"/>
    <w:rsid w:val="00EF4C66"/>
    <w:rsid w:val="00EF5DEF"/>
    <w:rsid w:val="00F01239"/>
    <w:rsid w:val="00F020E6"/>
    <w:rsid w:val="00F03234"/>
    <w:rsid w:val="00F15268"/>
    <w:rsid w:val="00F174C0"/>
    <w:rsid w:val="00F175F8"/>
    <w:rsid w:val="00F17EBE"/>
    <w:rsid w:val="00F17EE3"/>
    <w:rsid w:val="00F253D8"/>
    <w:rsid w:val="00F3065D"/>
    <w:rsid w:val="00F32403"/>
    <w:rsid w:val="00F35958"/>
    <w:rsid w:val="00F3767E"/>
    <w:rsid w:val="00F409D0"/>
    <w:rsid w:val="00F4100A"/>
    <w:rsid w:val="00F444C1"/>
    <w:rsid w:val="00F56E09"/>
    <w:rsid w:val="00F70C2F"/>
    <w:rsid w:val="00F718BB"/>
    <w:rsid w:val="00F7437C"/>
    <w:rsid w:val="00F74385"/>
    <w:rsid w:val="00F761E4"/>
    <w:rsid w:val="00F8026D"/>
    <w:rsid w:val="00F80EC9"/>
    <w:rsid w:val="00F863E7"/>
    <w:rsid w:val="00F867C0"/>
    <w:rsid w:val="00F93791"/>
    <w:rsid w:val="00F940BE"/>
    <w:rsid w:val="00F950FE"/>
    <w:rsid w:val="00FA15ED"/>
    <w:rsid w:val="00FA6973"/>
    <w:rsid w:val="00FA7CB4"/>
    <w:rsid w:val="00FB100A"/>
    <w:rsid w:val="00FB23C1"/>
    <w:rsid w:val="00FC0141"/>
    <w:rsid w:val="00FD07E2"/>
    <w:rsid w:val="00FD28AF"/>
    <w:rsid w:val="00FE23DE"/>
    <w:rsid w:val="00FE3B09"/>
    <w:rsid w:val="00FE74AC"/>
    <w:rsid w:val="00FF1858"/>
    <w:rsid w:val="00FF4E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E57796"/>
  <w15:docId w15:val="{854B24A9-4AA4-41D2-9806-B8D4BF71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3" w:unhideWhenUsed="1"/>
    <w:lsdException w:name="Body Text Indent 2"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uiPriority="69"/>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2023B"/>
    <w:pPr>
      <w:spacing w:after="200"/>
    </w:pPr>
    <w:rPr>
      <w:sz w:val="24"/>
      <w:szCs w:val="24"/>
    </w:rPr>
  </w:style>
  <w:style w:type="paragraph" w:styleId="Heading1">
    <w:name w:val="heading 1"/>
    <w:basedOn w:val="Normal"/>
    <w:next w:val="BodyText"/>
    <w:link w:val="Heading1Char"/>
    <w:qFormat/>
    <w:rsid w:val="004F008D"/>
    <w:pPr>
      <w:keepNext/>
      <w:numPr>
        <w:numId w:val="2"/>
      </w:numPr>
      <w:spacing w:before="240" w:after="60"/>
      <w:outlineLvl w:val="0"/>
    </w:pPr>
    <w:rPr>
      <w:rFonts w:ascii="Arial" w:eastAsia="Times New Roman" w:hAnsi="Arial"/>
      <w:b/>
      <w:kern w:val="32"/>
      <w:szCs w:val="32"/>
    </w:rPr>
  </w:style>
  <w:style w:type="paragraph" w:styleId="Heading2">
    <w:name w:val="heading 2"/>
    <w:basedOn w:val="Normal"/>
    <w:next w:val="Normal"/>
    <w:link w:val="Heading2Char"/>
    <w:autoRedefine/>
    <w:qFormat/>
    <w:rsid w:val="00080B30"/>
    <w:pPr>
      <w:keepNext/>
      <w:numPr>
        <w:ilvl w:val="1"/>
        <w:numId w:val="2"/>
      </w:numPr>
      <w:spacing w:before="240" w:after="60"/>
      <w:outlineLvl w:val="1"/>
    </w:pPr>
    <w:rPr>
      <w:rFonts w:ascii="Arial" w:eastAsia="Arial" w:hAnsi="Arial"/>
      <w:b/>
      <w:sz w:val="22"/>
      <w:szCs w:val="28"/>
    </w:rPr>
  </w:style>
  <w:style w:type="paragraph" w:styleId="Heading3">
    <w:name w:val="heading 3"/>
    <w:basedOn w:val="Normal"/>
    <w:next w:val="Normal"/>
    <w:link w:val="Heading3Char"/>
    <w:qFormat/>
    <w:rsid w:val="00F6506A"/>
    <w:pPr>
      <w:keepNext/>
      <w:numPr>
        <w:ilvl w:val="2"/>
        <w:numId w:val="2"/>
      </w:numPr>
      <w:spacing w:before="240" w:after="60"/>
      <w:outlineLvl w:val="2"/>
    </w:pPr>
    <w:rPr>
      <w:rFonts w:ascii="Arial" w:eastAsia="Times New Roman" w:hAnsi="Arial"/>
      <w:b/>
      <w:sz w:val="22"/>
      <w:szCs w:val="26"/>
    </w:rPr>
  </w:style>
  <w:style w:type="paragraph" w:styleId="Heading4">
    <w:name w:val="heading 4"/>
    <w:basedOn w:val="Normal"/>
    <w:next w:val="BodyText"/>
    <w:link w:val="Heading4Char"/>
    <w:qFormat/>
    <w:rsid w:val="00F6506A"/>
    <w:pPr>
      <w:keepNext/>
      <w:spacing w:before="240" w:after="60"/>
      <w:outlineLvl w:val="3"/>
    </w:pPr>
    <w:rPr>
      <w:rFonts w:ascii="Arial" w:eastAsia="Times New Roman" w:hAnsi="Arial"/>
      <w:i/>
      <w:sz w:val="20"/>
      <w:szCs w:val="28"/>
    </w:rPr>
  </w:style>
  <w:style w:type="paragraph" w:styleId="Heading7">
    <w:name w:val="heading 7"/>
    <w:basedOn w:val="Normal"/>
    <w:next w:val="Normal"/>
    <w:link w:val="Heading7Char"/>
    <w:qFormat/>
    <w:rsid w:val="00F5440C"/>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43D9"/>
    <w:pPr>
      <w:spacing w:before="120" w:after="120"/>
    </w:pPr>
    <w:rPr>
      <w:rFonts w:eastAsia="Times New Roman"/>
    </w:rPr>
  </w:style>
  <w:style w:type="character" w:customStyle="1" w:styleId="BodyTextChar">
    <w:name w:val="Body Text Char"/>
    <w:link w:val="BodyText"/>
    <w:rsid w:val="006C43D9"/>
    <w:rPr>
      <w:rFonts w:eastAsia="Times New Roman"/>
      <w:sz w:val="24"/>
      <w:szCs w:val="24"/>
    </w:rPr>
  </w:style>
  <w:style w:type="character" w:customStyle="1" w:styleId="Heading1Char">
    <w:name w:val="Heading 1 Char"/>
    <w:link w:val="Heading1"/>
    <w:rsid w:val="004F008D"/>
    <w:rPr>
      <w:rFonts w:ascii="Arial" w:eastAsia="Times New Roman" w:hAnsi="Arial"/>
      <w:b/>
      <w:kern w:val="32"/>
      <w:sz w:val="24"/>
      <w:szCs w:val="32"/>
    </w:rPr>
  </w:style>
  <w:style w:type="character" w:customStyle="1" w:styleId="Heading2Char">
    <w:name w:val="Heading 2 Char"/>
    <w:link w:val="Heading2"/>
    <w:rsid w:val="00080B30"/>
    <w:rPr>
      <w:rFonts w:ascii="Arial" w:eastAsia="Arial" w:hAnsi="Arial"/>
      <w:b/>
      <w:sz w:val="22"/>
      <w:szCs w:val="28"/>
    </w:rPr>
  </w:style>
  <w:style w:type="character" w:customStyle="1" w:styleId="Heading3Char">
    <w:name w:val="Heading 3 Char"/>
    <w:link w:val="Heading3"/>
    <w:rsid w:val="00F6506A"/>
    <w:rPr>
      <w:rFonts w:ascii="Arial" w:eastAsia="Times New Roman" w:hAnsi="Arial"/>
      <w:b/>
      <w:sz w:val="22"/>
      <w:szCs w:val="26"/>
    </w:rPr>
  </w:style>
  <w:style w:type="character" w:customStyle="1" w:styleId="Heading4Char">
    <w:name w:val="Heading 4 Char"/>
    <w:link w:val="Heading4"/>
    <w:rsid w:val="00F6506A"/>
    <w:rPr>
      <w:rFonts w:ascii="Arial" w:eastAsia="Times New Roman" w:hAnsi="Arial"/>
      <w:i/>
      <w:szCs w:val="28"/>
    </w:rPr>
  </w:style>
  <w:style w:type="paragraph" w:customStyle="1" w:styleId="AnnexHeading">
    <w:name w:val="Annex Heading"/>
    <w:basedOn w:val="Normal"/>
    <w:next w:val="Normal"/>
    <w:rsid w:val="00F6506A"/>
    <w:pPr>
      <w:suppressAutoHyphens/>
      <w:spacing w:after="240"/>
    </w:pPr>
    <w:rPr>
      <w:rFonts w:ascii="Arial" w:eastAsia="Times New Roman" w:hAnsi="Arial"/>
      <w:b/>
      <w:sz w:val="22"/>
      <w:szCs w:val="22"/>
      <w:lang w:eastAsia="en-GB"/>
    </w:rPr>
  </w:style>
  <w:style w:type="paragraph" w:customStyle="1" w:styleId="Appendix">
    <w:name w:val="Appendix"/>
    <w:basedOn w:val="Heading1"/>
    <w:rsid w:val="00F6506A"/>
    <w:pPr>
      <w:keepNext w:val="0"/>
      <w:spacing w:before="0" w:after="360"/>
    </w:pPr>
    <w:rPr>
      <w:bCs/>
      <w:kern w:val="0"/>
      <w:szCs w:val="20"/>
    </w:rPr>
  </w:style>
  <w:style w:type="paragraph" w:customStyle="1" w:styleId="Bullet1">
    <w:name w:val="Bullet 1"/>
    <w:basedOn w:val="Normal"/>
    <w:rsid w:val="008A0D95"/>
    <w:pPr>
      <w:tabs>
        <w:tab w:val="num" w:pos="720"/>
      </w:tabs>
      <w:suppressAutoHyphens/>
      <w:spacing w:after="120"/>
      <w:ind w:left="720" w:hanging="360"/>
    </w:pPr>
    <w:rPr>
      <w:rFonts w:ascii="Verdana" w:eastAsia="Times New Roman" w:hAnsi="Verdana"/>
      <w:sz w:val="22"/>
      <w:szCs w:val="20"/>
    </w:rPr>
  </w:style>
  <w:style w:type="paragraph" w:styleId="Caption">
    <w:name w:val="caption"/>
    <w:basedOn w:val="Normal"/>
    <w:next w:val="Normal"/>
    <w:qFormat/>
    <w:rsid w:val="00F6506A"/>
    <w:pPr>
      <w:suppressAutoHyphens/>
      <w:spacing w:after="120"/>
    </w:pPr>
    <w:rPr>
      <w:rFonts w:ascii="Times New Roman" w:eastAsia="Times New Roman" w:hAnsi="Times New Roman"/>
      <w:b/>
      <w:bCs/>
      <w:sz w:val="20"/>
      <w:szCs w:val="20"/>
      <w:lang w:eastAsia="en-GB"/>
    </w:rPr>
  </w:style>
  <w:style w:type="paragraph" w:styleId="FootnoteText">
    <w:name w:val="footnote text"/>
    <w:aliases w:val="FOOTNOTES,fn,single space,footnote text,ft,Fußnotentextf,footnote text Char Char Char,footnote text Char Char,footnote text Char Char Char Char Char,Char Char Char,texto de nota al pie Car1,Nota a pie/Bibliog Car1,ALTS FOOTNOTE,f,ADB"/>
    <w:basedOn w:val="Normal"/>
    <w:link w:val="FootnoteTextChar"/>
    <w:uiPriority w:val="99"/>
    <w:qFormat/>
    <w:rsid w:val="00F6506A"/>
    <w:pPr>
      <w:suppressAutoHyphens/>
      <w:spacing w:after="120"/>
      <w:jc w:val="both"/>
    </w:pPr>
    <w:rPr>
      <w:rFonts w:ascii="Book Antiqua" w:eastAsia="Times New Roman" w:hAnsi="Book Antiqua"/>
      <w:sz w:val="18"/>
      <w:szCs w:val="20"/>
      <w:lang w:eastAsia="en-GB"/>
    </w:rPr>
  </w:style>
  <w:style w:type="character" w:customStyle="1" w:styleId="FootnoteTextChar">
    <w:name w:val="Footnote Text Char"/>
    <w:aliases w:val="FOOTNOTES Char,fn Char,single space Char,footnote text Char,ft Char,Fußnotentextf Char,footnote text Char Char Char Char,footnote text Char Char Char1,footnote text Char Char Char Char Char Char,Char Char Char Char,ALTS FOOTNOTE Char"/>
    <w:link w:val="FootnoteText"/>
    <w:uiPriority w:val="99"/>
    <w:rsid w:val="00F6506A"/>
    <w:rPr>
      <w:rFonts w:ascii="Book Antiqua" w:eastAsia="Times New Roman" w:hAnsi="Book Antiqua"/>
      <w:sz w:val="18"/>
      <w:lang w:eastAsia="en-GB"/>
    </w:rPr>
  </w:style>
  <w:style w:type="paragraph" w:customStyle="1" w:styleId="Head1">
    <w:name w:val="Head 1"/>
    <w:basedOn w:val="Heading1"/>
    <w:next w:val="BodyText"/>
    <w:rsid w:val="00F6506A"/>
    <w:pPr>
      <w:numPr>
        <w:numId w:val="0"/>
      </w:numPr>
    </w:pPr>
    <w:rPr>
      <w:bCs/>
      <w:sz w:val="28"/>
    </w:rPr>
  </w:style>
  <w:style w:type="paragraph" w:customStyle="1" w:styleId="Head2">
    <w:name w:val="Head 2"/>
    <w:basedOn w:val="Heading2"/>
    <w:next w:val="BodyText"/>
    <w:rsid w:val="00F6506A"/>
    <w:pPr>
      <w:numPr>
        <w:ilvl w:val="0"/>
        <w:numId w:val="0"/>
      </w:numPr>
    </w:pPr>
    <w:rPr>
      <w:bCs/>
      <w:iCs/>
    </w:rPr>
  </w:style>
  <w:style w:type="paragraph" w:customStyle="1" w:styleId="Head3">
    <w:name w:val="Head 3"/>
    <w:basedOn w:val="Heading3"/>
    <w:next w:val="BodyText"/>
    <w:rsid w:val="00F6506A"/>
    <w:pPr>
      <w:numPr>
        <w:ilvl w:val="0"/>
        <w:numId w:val="0"/>
      </w:numPr>
    </w:pPr>
    <w:rPr>
      <w:bCs/>
    </w:rPr>
  </w:style>
  <w:style w:type="paragraph" w:customStyle="1" w:styleId="TableEntry">
    <w:name w:val="Table Entry"/>
    <w:rsid w:val="00F6506A"/>
    <w:pPr>
      <w:spacing w:before="40" w:after="40"/>
    </w:pPr>
    <w:rPr>
      <w:rFonts w:ascii="Arial" w:eastAsia="Times New Roman" w:hAnsi="Arial"/>
      <w:sz w:val="18"/>
    </w:rPr>
  </w:style>
  <w:style w:type="paragraph" w:customStyle="1" w:styleId="TableEntryBullet">
    <w:name w:val="Table Entry Bullet"/>
    <w:basedOn w:val="TableEntry"/>
    <w:rsid w:val="00F6506A"/>
    <w:pPr>
      <w:tabs>
        <w:tab w:val="left" w:pos="5058"/>
      </w:tabs>
    </w:pPr>
  </w:style>
  <w:style w:type="table" w:styleId="TableGrid">
    <w:name w:val="Table Grid"/>
    <w:basedOn w:val="TableNormal"/>
    <w:uiPriority w:val="59"/>
    <w:rsid w:val="00F6506A"/>
    <w:pPr>
      <w:suppressAutoHyphens/>
      <w:spacing w:before="40" w:after="40"/>
    </w:pPr>
    <w:rPr>
      <w:rFonts w:ascii="Arial" w:eastAsia="Times New Roman" w:hAnsi="Arial"/>
      <w:sz w:val="18"/>
      <w:szCs w:val="18"/>
    </w:rPr>
    <w:tblPr>
      <w:jc w:val="center"/>
      <w:tblBorders>
        <w:top w:val="single" w:sz="8" w:space="0" w:color="auto"/>
        <w:bottom w:val="single" w:sz="8" w:space="0" w:color="auto"/>
        <w:insideH w:val="dotted" w:sz="8" w:space="0" w:color="auto"/>
      </w:tblBorders>
      <w:tblCellMar>
        <w:left w:w="72" w:type="dxa"/>
        <w:right w:w="72" w:type="dxa"/>
      </w:tblCellMar>
    </w:tblPr>
    <w:trPr>
      <w:jc w:val="center"/>
    </w:trPr>
  </w:style>
  <w:style w:type="paragraph" w:customStyle="1" w:styleId="TableHead">
    <w:name w:val="Table Head"/>
    <w:rsid w:val="00F6506A"/>
    <w:pPr>
      <w:spacing w:before="60" w:after="60"/>
      <w:jc w:val="center"/>
    </w:pPr>
    <w:rPr>
      <w:rFonts w:ascii="Arial" w:eastAsia="Times New Roman" w:hAnsi="Arial"/>
      <w:i/>
      <w:snapToGrid w:val="0"/>
      <w:sz w:val="18"/>
    </w:rPr>
  </w:style>
  <w:style w:type="paragraph" w:customStyle="1" w:styleId="TableNote">
    <w:name w:val="Table Note"/>
    <w:basedOn w:val="Normal"/>
    <w:rsid w:val="00F6506A"/>
    <w:pPr>
      <w:tabs>
        <w:tab w:val="right" w:pos="630"/>
        <w:tab w:val="right" w:pos="720"/>
      </w:tabs>
      <w:suppressAutoHyphens/>
      <w:spacing w:before="60" w:after="60"/>
    </w:pPr>
    <w:rPr>
      <w:rFonts w:ascii="Arial" w:eastAsia="Times New Roman" w:hAnsi="Arial"/>
      <w:sz w:val="18"/>
    </w:rPr>
  </w:style>
  <w:style w:type="character" w:customStyle="1" w:styleId="TableNoteChar">
    <w:name w:val="Table Note Char"/>
    <w:rsid w:val="00F6506A"/>
    <w:rPr>
      <w:rFonts w:ascii="Arial" w:hAnsi="Arial"/>
      <w:sz w:val="18"/>
      <w:szCs w:val="24"/>
      <w:lang w:val="en-US" w:eastAsia="en-US" w:bidi="ar-SA"/>
    </w:rPr>
  </w:style>
  <w:style w:type="paragraph" w:customStyle="1" w:styleId="Tablesource">
    <w:name w:val="Table source"/>
    <w:basedOn w:val="Normal"/>
    <w:next w:val="Normal"/>
    <w:rsid w:val="00F6506A"/>
    <w:pPr>
      <w:suppressAutoHyphens/>
      <w:spacing w:after="240"/>
      <w:ind w:left="288" w:hanging="288"/>
      <w:jc w:val="both"/>
    </w:pPr>
    <w:rPr>
      <w:rFonts w:ascii="Book Antiqua" w:eastAsia="Times New Roman" w:hAnsi="Book Antiqua"/>
      <w:sz w:val="18"/>
      <w:szCs w:val="20"/>
    </w:rPr>
  </w:style>
  <w:style w:type="paragraph" w:customStyle="1" w:styleId="TableTitle">
    <w:name w:val="Table Title"/>
    <w:basedOn w:val="Normal"/>
    <w:next w:val="Normal"/>
    <w:rsid w:val="00F6506A"/>
    <w:pPr>
      <w:suppressAutoHyphens/>
      <w:spacing w:after="120"/>
      <w:jc w:val="both"/>
    </w:pPr>
    <w:rPr>
      <w:rFonts w:ascii="Arial" w:eastAsia="Times New Roman" w:hAnsi="Arial"/>
      <w:b/>
      <w:sz w:val="20"/>
      <w:lang w:eastAsia="en-GB"/>
    </w:rPr>
  </w:style>
  <w:style w:type="character" w:styleId="FootnoteReference">
    <w:name w:val="footnote reference"/>
    <w:aliases w:val="ftref,referencia nota al pie,Знак сноски 1,Footnote Reference Number,Footnote Reference_LVL6,Footnote Reference_LVL61,Footnote Reference_LVL62,Footnote Reference_LVL63,Footnote Reference_LVL64,16 Point,Superscript 6 Point, BVI fnr,fr"/>
    <w:link w:val="CharCharCharCharCarChar"/>
    <w:uiPriority w:val="99"/>
    <w:unhideWhenUsed/>
    <w:qFormat/>
    <w:rsid w:val="00353E96"/>
    <w:rPr>
      <w:vertAlign w:val="superscript"/>
    </w:rPr>
  </w:style>
  <w:style w:type="paragraph" w:styleId="Footer">
    <w:name w:val="footer"/>
    <w:basedOn w:val="Normal"/>
    <w:link w:val="FooterChar"/>
    <w:uiPriority w:val="99"/>
    <w:unhideWhenUsed/>
    <w:rsid w:val="00FA6DBD"/>
    <w:pPr>
      <w:tabs>
        <w:tab w:val="center" w:pos="4320"/>
        <w:tab w:val="right" w:pos="8640"/>
      </w:tabs>
    </w:pPr>
  </w:style>
  <w:style w:type="character" w:customStyle="1" w:styleId="FooterChar">
    <w:name w:val="Footer Char"/>
    <w:link w:val="Footer"/>
    <w:uiPriority w:val="99"/>
    <w:rsid w:val="00FA6DBD"/>
    <w:rPr>
      <w:sz w:val="24"/>
      <w:szCs w:val="24"/>
    </w:rPr>
  </w:style>
  <w:style w:type="character" w:styleId="PageNumber">
    <w:name w:val="page number"/>
    <w:basedOn w:val="DefaultParagraphFont"/>
    <w:uiPriority w:val="99"/>
    <w:semiHidden/>
    <w:unhideWhenUsed/>
    <w:rsid w:val="00FA6DBD"/>
  </w:style>
  <w:style w:type="character" w:styleId="Hyperlink">
    <w:name w:val="Hyperlink"/>
    <w:uiPriority w:val="99"/>
    <w:rsid w:val="00D92972"/>
    <w:rPr>
      <w:color w:val="0000D4"/>
      <w:u w:val="single"/>
    </w:rPr>
  </w:style>
  <w:style w:type="paragraph" w:styleId="Header">
    <w:name w:val="header"/>
    <w:basedOn w:val="Normal"/>
    <w:link w:val="HeaderChar"/>
    <w:rsid w:val="00C35CC4"/>
    <w:pPr>
      <w:tabs>
        <w:tab w:val="center" w:pos="4320"/>
        <w:tab w:val="right" w:pos="8640"/>
      </w:tabs>
    </w:pPr>
  </w:style>
  <w:style w:type="character" w:customStyle="1" w:styleId="HeaderChar">
    <w:name w:val="Header Char"/>
    <w:link w:val="Header"/>
    <w:rsid w:val="00C35CC4"/>
    <w:rPr>
      <w:sz w:val="24"/>
      <w:szCs w:val="24"/>
    </w:rPr>
  </w:style>
  <w:style w:type="paragraph" w:styleId="CommentText">
    <w:name w:val="annotation text"/>
    <w:basedOn w:val="Normal"/>
    <w:link w:val="CommentTextChar"/>
    <w:uiPriority w:val="99"/>
    <w:rsid w:val="00A1537B"/>
    <w:pPr>
      <w:spacing w:after="0"/>
    </w:pPr>
    <w:rPr>
      <w:rFonts w:ascii="Times New Roman" w:eastAsia="Times New Roman" w:hAnsi="Times New Roman"/>
      <w:sz w:val="20"/>
      <w:szCs w:val="20"/>
    </w:rPr>
  </w:style>
  <w:style w:type="character" w:customStyle="1" w:styleId="CommentTextChar">
    <w:name w:val="Comment Text Char"/>
    <w:link w:val="CommentText"/>
    <w:uiPriority w:val="99"/>
    <w:rsid w:val="00A1537B"/>
    <w:rPr>
      <w:rFonts w:ascii="Times New Roman" w:eastAsia="Times New Roman" w:hAnsi="Times New Roman"/>
    </w:rPr>
  </w:style>
  <w:style w:type="character" w:styleId="CommentReference">
    <w:name w:val="annotation reference"/>
    <w:uiPriority w:val="99"/>
    <w:rsid w:val="00A1537B"/>
    <w:rPr>
      <w:sz w:val="18"/>
      <w:szCs w:val="18"/>
    </w:rPr>
  </w:style>
  <w:style w:type="paragraph" w:styleId="BalloonText">
    <w:name w:val="Balloon Text"/>
    <w:basedOn w:val="Normal"/>
    <w:link w:val="BalloonTextChar"/>
    <w:uiPriority w:val="99"/>
    <w:rsid w:val="00A1537B"/>
    <w:pPr>
      <w:spacing w:after="0"/>
    </w:pPr>
    <w:rPr>
      <w:rFonts w:ascii="Lucida Grande" w:hAnsi="Lucida Grande"/>
      <w:sz w:val="18"/>
      <w:szCs w:val="18"/>
    </w:rPr>
  </w:style>
  <w:style w:type="character" w:customStyle="1" w:styleId="BalloonTextChar">
    <w:name w:val="Balloon Text Char"/>
    <w:link w:val="BalloonText"/>
    <w:uiPriority w:val="99"/>
    <w:rsid w:val="00A1537B"/>
    <w:rPr>
      <w:rFonts w:ascii="Lucida Grande" w:hAnsi="Lucida Grande"/>
      <w:sz w:val="18"/>
      <w:szCs w:val="18"/>
    </w:rPr>
  </w:style>
  <w:style w:type="paragraph" w:customStyle="1" w:styleId="ColorfulList-Accent11">
    <w:name w:val="Colorful List - Accent 11"/>
    <w:aliases w:val="Sub-heading,Numbered Paragraph,Main numbered paragraph,References,Numbered List Paragraph,123 List Paragraph,List Paragraph (numbered (a)),List Paragraph nowy,Liste 1,List_Paragraph,Multilevel para_II,List Paragraph1"/>
    <w:basedOn w:val="Normal"/>
    <w:link w:val="ColorfulList-Accent1Char"/>
    <w:uiPriority w:val="34"/>
    <w:qFormat/>
    <w:rsid w:val="00871C9D"/>
    <w:pPr>
      <w:spacing w:after="0"/>
      <w:ind w:left="720"/>
      <w:contextualSpacing/>
    </w:pPr>
    <w:rPr>
      <w:rFonts w:ascii="Times New Roman" w:eastAsia="Times New Roman" w:hAnsi="Times New Roman"/>
    </w:rPr>
  </w:style>
  <w:style w:type="character" w:customStyle="1" w:styleId="Heading7Char">
    <w:name w:val="Heading 7 Char"/>
    <w:link w:val="Heading7"/>
    <w:rsid w:val="00F5440C"/>
    <w:rPr>
      <w:rFonts w:ascii="Times New Roman" w:eastAsia="Times New Roman" w:hAnsi="Times New Roman"/>
      <w:sz w:val="24"/>
      <w:szCs w:val="24"/>
    </w:rPr>
  </w:style>
  <w:style w:type="paragraph" w:styleId="TOC2">
    <w:name w:val="toc 2"/>
    <w:basedOn w:val="Normal"/>
    <w:next w:val="Normal"/>
    <w:autoRedefine/>
    <w:uiPriority w:val="39"/>
    <w:rsid w:val="00F5440C"/>
    <w:pPr>
      <w:ind w:left="240"/>
    </w:pPr>
  </w:style>
  <w:style w:type="paragraph" w:styleId="TOC1">
    <w:name w:val="toc 1"/>
    <w:basedOn w:val="Normal"/>
    <w:next w:val="Normal"/>
    <w:autoRedefine/>
    <w:uiPriority w:val="39"/>
    <w:rsid w:val="00F5440C"/>
  </w:style>
  <w:style w:type="paragraph" w:styleId="TOC3">
    <w:name w:val="toc 3"/>
    <w:basedOn w:val="Normal"/>
    <w:next w:val="Normal"/>
    <w:autoRedefine/>
    <w:uiPriority w:val="39"/>
    <w:rsid w:val="00F5440C"/>
    <w:pPr>
      <w:ind w:left="480"/>
    </w:pPr>
  </w:style>
  <w:style w:type="paragraph" w:styleId="BodyTextIndent">
    <w:name w:val="Body Text Indent"/>
    <w:basedOn w:val="Normal"/>
    <w:link w:val="BodyTextIndentChar"/>
    <w:rsid w:val="00F5440C"/>
    <w:pPr>
      <w:spacing w:after="120"/>
      <w:ind w:left="360"/>
    </w:pPr>
  </w:style>
  <w:style w:type="character" w:customStyle="1" w:styleId="BodyTextIndentChar">
    <w:name w:val="Body Text Indent Char"/>
    <w:link w:val="BodyTextIndent"/>
    <w:rsid w:val="00F5440C"/>
    <w:rPr>
      <w:sz w:val="24"/>
      <w:szCs w:val="24"/>
    </w:rPr>
  </w:style>
  <w:style w:type="paragraph" w:customStyle="1" w:styleId="Char">
    <w:name w:val="Char"/>
    <w:basedOn w:val="Normal"/>
    <w:rsid w:val="00F5440C"/>
    <w:pPr>
      <w:spacing w:after="160" w:line="240" w:lineRule="exact"/>
    </w:pPr>
    <w:rPr>
      <w:rFonts w:ascii="Verdana" w:eastAsia="Times New Roman" w:hAnsi="Verdana" w:cs="Verdana"/>
      <w:sz w:val="20"/>
      <w:szCs w:val="20"/>
    </w:rPr>
  </w:style>
  <w:style w:type="paragraph" w:styleId="BodyTextIndent3">
    <w:name w:val="Body Text Indent 3"/>
    <w:basedOn w:val="Normal"/>
    <w:link w:val="BodyTextIndent3Char"/>
    <w:rsid w:val="00F5440C"/>
    <w:pPr>
      <w:spacing w:after="120"/>
      <w:ind w:left="360"/>
    </w:pPr>
    <w:rPr>
      <w:sz w:val="16"/>
      <w:szCs w:val="16"/>
    </w:rPr>
  </w:style>
  <w:style w:type="character" w:customStyle="1" w:styleId="BodyTextIndent3Char">
    <w:name w:val="Body Text Indent 3 Char"/>
    <w:link w:val="BodyTextIndent3"/>
    <w:rsid w:val="00F5440C"/>
    <w:rPr>
      <w:sz w:val="16"/>
      <w:szCs w:val="16"/>
    </w:rPr>
  </w:style>
  <w:style w:type="character" w:customStyle="1" w:styleId="ColorfulList-Accent1Char">
    <w:name w:val="Colorful List - Accent 1 Char"/>
    <w:aliases w:val="Sub-heading Char,Numbered Paragraph Char,Main numbered paragraph Char,References Char,Numbered List Paragraph Char,123 List Paragraph Char,List Paragraph (numbered (a)) Char,List Paragraph nowy Char,Liste 1 Char"/>
    <w:link w:val="ColorfulList-Accent11"/>
    <w:uiPriority w:val="34"/>
    <w:qFormat/>
    <w:locked/>
    <w:rsid w:val="00CB0ACA"/>
    <w:rPr>
      <w:rFonts w:ascii="Times New Roman" w:eastAsia="Times New Roman" w:hAnsi="Times New Roman"/>
      <w:sz w:val="24"/>
      <w:szCs w:val="24"/>
    </w:rPr>
  </w:style>
  <w:style w:type="character" w:styleId="Emphasis">
    <w:name w:val="Emphasis"/>
    <w:uiPriority w:val="20"/>
    <w:qFormat/>
    <w:rsid w:val="008D5C2F"/>
    <w:rPr>
      <w:b/>
      <w:bCs/>
      <w:i w:val="0"/>
      <w:iCs w:val="0"/>
    </w:rPr>
  </w:style>
  <w:style w:type="paragraph" w:customStyle="1" w:styleId="Para">
    <w:name w:val="Para"/>
    <w:uiPriority w:val="99"/>
    <w:qFormat/>
    <w:rsid w:val="00C84B85"/>
    <w:pPr>
      <w:suppressAutoHyphens/>
      <w:spacing w:after="120" w:line="100" w:lineRule="atLeast"/>
      <w:jc w:val="both"/>
    </w:pPr>
    <w:rPr>
      <w:rFonts w:ascii="Times New Roman" w:eastAsia="SimSun" w:hAnsi="Times New Roman" w:cs="Calibri"/>
      <w:kern w:val="1"/>
      <w:sz w:val="24"/>
      <w:szCs w:val="24"/>
      <w:lang w:eastAsia="hi-IN" w:bidi="hi-IN"/>
    </w:rPr>
  </w:style>
  <w:style w:type="paragraph" w:customStyle="1" w:styleId="CharCharCharCharCarChar">
    <w:name w:val="Char Char Char Char Car Char"/>
    <w:aliases w:val="BVI fn,Footnote"/>
    <w:basedOn w:val="Normal"/>
    <w:next w:val="Normal"/>
    <w:link w:val="FootnoteReference"/>
    <w:uiPriority w:val="99"/>
    <w:rsid w:val="00C84B85"/>
    <w:pPr>
      <w:spacing w:after="160" w:line="240" w:lineRule="exact"/>
    </w:pPr>
    <w:rPr>
      <w:sz w:val="20"/>
      <w:szCs w:val="20"/>
      <w:vertAlign w:val="superscript"/>
    </w:rPr>
  </w:style>
  <w:style w:type="paragraph" w:customStyle="1" w:styleId="AppendixH1">
    <w:name w:val="AppendixH1"/>
    <w:next w:val="Normal"/>
    <w:rsid w:val="006E13A1"/>
    <w:pPr>
      <w:keepLines/>
      <w:widowControl w:val="0"/>
      <w:tabs>
        <w:tab w:val="left" w:pos="680"/>
      </w:tabs>
      <w:spacing w:before="480" w:after="240"/>
      <w:ind w:right="2835"/>
    </w:pPr>
    <w:rPr>
      <w:rFonts w:ascii="Arial" w:eastAsia="SimHei" w:hAnsi="Arial" w:cs="Arial"/>
      <w:b/>
      <w:bCs/>
      <w:sz w:val="28"/>
      <w:szCs w:val="30"/>
      <w:lang w:val="en-GB"/>
    </w:rPr>
  </w:style>
  <w:style w:type="paragraph" w:customStyle="1" w:styleId="ListDash1">
    <w:name w:val="List Dash 1"/>
    <w:basedOn w:val="Normal"/>
    <w:rsid w:val="003B5C7A"/>
    <w:pPr>
      <w:numPr>
        <w:numId w:val="14"/>
      </w:numPr>
      <w:spacing w:before="120" w:after="120"/>
      <w:jc w:val="both"/>
    </w:pPr>
    <w:rPr>
      <w:rFonts w:ascii="Times New Roman" w:eastAsia="Times New Roman" w:hAnsi="Times New Roman"/>
      <w:lang w:val="en-GB" w:eastAsia="de-DE"/>
    </w:rPr>
  </w:style>
  <w:style w:type="paragraph" w:styleId="NormalWeb">
    <w:name w:val="Normal (Web)"/>
    <w:basedOn w:val="Normal"/>
    <w:uiPriority w:val="99"/>
    <w:unhideWhenUsed/>
    <w:rsid w:val="00FE23DE"/>
    <w:pPr>
      <w:spacing w:before="100" w:beforeAutospacing="1" w:after="100" w:afterAutospacing="1"/>
    </w:pPr>
    <w:rPr>
      <w:rFonts w:ascii="Times New Roman" w:hAnsi="Times New Roman"/>
      <w:sz w:val="20"/>
      <w:szCs w:val="20"/>
    </w:rPr>
  </w:style>
  <w:style w:type="paragraph" w:customStyle="1" w:styleId="HEARTBodytext">
    <w:name w:val="HEART Body text"/>
    <w:basedOn w:val="Normal"/>
    <w:link w:val="HEARTBodytextChar"/>
    <w:qFormat/>
    <w:rsid w:val="00A35766"/>
    <w:pPr>
      <w:spacing w:after="120"/>
    </w:pPr>
    <w:rPr>
      <w:rFonts w:ascii="Arial" w:eastAsia="Times New Roman" w:hAnsi="Arial"/>
      <w:sz w:val="22"/>
      <w:szCs w:val="20"/>
      <w:lang w:val="en-GB"/>
    </w:rPr>
  </w:style>
  <w:style w:type="character" w:customStyle="1" w:styleId="HEARTBodytextChar">
    <w:name w:val="HEART Body text Char"/>
    <w:link w:val="HEARTBodytext"/>
    <w:rsid w:val="00A35766"/>
    <w:rPr>
      <w:rFonts w:ascii="Arial" w:eastAsia="Times New Roman" w:hAnsi="Arial"/>
      <w:sz w:val="22"/>
      <w:lang w:val="en-GB"/>
    </w:rPr>
  </w:style>
  <w:style w:type="paragraph" w:customStyle="1" w:styleId="Heading4NONUM">
    <w:name w:val="Heading 4 NO NUM"/>
    <w:basedOn w:val="Heading4"/>
    <w:next w:val="HEARTBodytext"/>
    <w:qFormat/>
    <w:rsid w:val="00A35766"/>
    <w:pPr>
      <w:spacing w:before="120" w:after="120"/>
    </w:pPr>
    <w:rPr>
      <w:b/>
      <w:i w:val="0"/>
      <w:kern w:val="32"/>
      <w:sz w:val="22"/>
      <w:lang w:val="en-GB"/>
    </w:rPr>
  </w:style>
  <w:style w:type="paragraph" w:customStyle="1" w:styleId="Default">
    <w:name w:val="Default"/>
    <w:rsid w:val="00C76F4D"/>
    <w:pPr>
      <w:autoSpaceDE w:val="0"/>
      <w:autoSpaceDN w:val="0"/>
      <w:adjustRightInd w:val="0"/>
    </w:pPr>
    <w:rPr>
      <w:rFonts w:ascii="Times New Roman" w:eastAsia="Yu Mincho" w:hAnsi="Times New Roman"/>
      <w:color w:val="000000"/>
      <w:sz w:val="24"/>
      <w:szCs w:val="24"/>
    </w:rPr>
  </w:style>
  <w:style w:type="paragraph" w:customStyle="1" w:styleId="NoSpacing1">
    <w:name w:val="No Spacing1"/>
    <w:link w:val="NoSpacingChar"/>
    <w:uiPriority w:val="1"/>
    <w:qFormat/>
    <w:rsid w:val="00843EA7"/>
    <w:rPr>
      <w:rFonts w:ascii="Calibri" w:eastAsia="Yu Mincho" w:hAnsi="Calibri"/>
      <w:sz w:val="22"/>
      <w:szCs w:val="22"/>
    </w:rPr>
  </w:style>
  <w:style w:type="character" w:customStyle="1" w:styleId="NoSpacingChar">
    <w:name w:val="No Spacing Char"/>
    <w:link w:val="NoSpacing1"/>
    <w:uiPriority w:val="1"/>
    <w:rsid w:val="00843EA7"/>
    <w:rPr>
      <w:rFonts w:ascii="Calibri" w:eastAsia="Yu Mincho" w:hAnsi="Calibri"/>
      <w:sz w:val="22"/>
      <w:szCs w:val="22"/>
    </w:rPr>
  </w:style>
  <w:style w:type="table" w:customStyle="1" w:styleId="PlainTable21">
    <w:name w:val="Plain Table 21"/>
    <w:basedOn w:val="TableNormal"/>
    <w:uiPriority w:val="42"/>
    <w:rsid w:val="00843EA7"/>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Paragraph">
    <w:name w:val="Table Paragraph"/>
    <w:basedOn w:val="Normal"/>
    <w:uiPriority w:val="1"/>
    <w:qFormat/>
    <w:rsid w:val="00843EA7"/>
    <w:pPr>
      <w:widowControl w:val="0"/>
      <w:autoSpaceDE w:val="0"/>
      <w:autoSpaceDN w:val="0"/>
      <w:spacing w:after="0"/>
      <w:ind w:left="100"/>
    </w:pPr>
    <w:rPr>
      <w:rFonts w:ascii="Calibri" w:eastAsia="Calibri" w:hAnsi="Calibri" w:cs="Calibri"/>
      <w:sz w:val="22"/>
      <w:szCs w:val="22"/>
      <w:lang w:bidi="en-US"/>
    </w:rPr>
  </w:style>
  <w:style w:type="table" w:styleId="MediumShading2-Accent2">
    <w:name w:val="Medium Shading 2 Accent 2"/>
    <w:basedOn w:val="TableNormal"/>
    <w:uiPriority w:val="69"/>
    <w:rsid w:val="00843EA7"/>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TOC4">
    <w:name w:val="toc 4"/>
    <w:basedOn w:val="Normal"/>
    <w:next w:val="Normal"/>
    <w:autoRedefine/>
    <w:rsid w:val="00B849F0"/>
    <w:pPr>
      <w:ind w:left="720"/>
    </w:pPr>
  </w:style>
  <w:style w:type="paragraph" w:styleId="TOC5">
    <w:name w:val="toc 5"/>
    <w:basedOn w:val="Normal"/>
    <w:next w:val="Normal"/>
    <w:autoRedefine/>
    <w:rsid w:val="00B849F0"/>
    <w:pPr>
      <w:ind w:left="960"/>
    </w:pPr>
  </w:style>
  <w:style w:type="paragraph" w:styleId="TOC6">
    <w:name w:val="toc 6"/>
    <w:basedOn w:val="Normal"/>
    <w:next w:val="Normal"/>
    <w:autoRedefine/>
    <w:rsid w:val="00B849F0"/>
    <w:pPr>
      <w:ind w:left="1200"/>
    </w:pPr>
  </w:style>
  <w:style w:type="paragraph" w:styleId="TOC7">
    <w:name w:val="toc 7"/>
    <w:basedOn w:val="Normal"/>
    <w:next w:val="Normal"/>
    <w:autoRedefine/>
    <w:rsid w:val="00B849F0"/>
    <w:pPr>
      <w:ind w:left="1440"/>
    </w:pPr>
  </w:style>
  <w:style w:type="paragraph" w:styleId="TOC8">
    <w:name w:val="toc 8"/>
    <w:basedOn w:val="Normal"/>
    <w:next w:val="Normal"/>
    <w:autoRedefine/>
    <w:rsid w:val="00B849F0"/>
    <w:pPr>
      <w:ind w:left="1680"/>
    </w:pPr>
  </w:style>
  <w:style w:type="paragraph" w:styleId="TOC9">
    <w:name w:val="toc 9"/>
    <w:basedOn w:val="Normal"/>
    <w:next w:val="Normal"/>
    <w:autoRedefine/>
    <w:rsid w:val="00B849F0"/>
    <w:pPr>
      <w:ind w:left="1920"/>
    </w:pPr>
  </w:style>
  <w:style w:type="table" w:styleId="TableGrid1">
    <w:name w:val="Table Grid 1"/>
    <w:basedOn w:val="TableNormal"/>
    <w:rsid w:val="00474E6B"/>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unhideWhenUsed/>
    <w:rsid w:val="00F70C2F"/>
    <w:pPr>
      <w:spacing w:after="200"/>
    </w:pPr>
    <w:rPr>
      <w:rFonts w:ascii="Cambria" w:eastAsia="Cambria" w:hAnsi="Cambria"/>
      <w:b/>
      <w:bCs/>
    </w:rPr>
  </w:style>
  <w:style w:type="character" w:customStyle="1" w:styleId="CommentSubjectChar">
    <w:name w:val="Comment Subject Char"/>
    <w:basedOn w:val="CommentTextChar"/>
    <w:link w:val="CommentSubject"/>
    <w:semiHidden/>
    <w:rsid w:val="00F70C2F"/>
    <w:rPr>
      <w:rFonts w:ascii="Times New Roman" w:eastAsia="Times New Roman" w:hAnsi="Times New Roman"/>
      <w:b/>
      <w:bCs/>
    </w:rPr>
  </w:style>
  <w:style w:type="paragraph" w:styleId="ListParagraph">
    <w:name w:val="List Paragraph"/>
    <w:basedOn w:val="Normal"/>
    <w:uiPriority w:val="34"/>
    <w:qFormat/>
    <w:rsid w:val="004C26A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18515">
      <w:bodyDiv w:val="1"/>
      <w:marLeft w:val="0"/>
      <w:marRight w:val="0"/>
      <w:marTop w:val="0"/>
      <w:marBottom w:val="0"/>
      <w:divBdr>
        <w:top w:val="none" w:sz="0" w:space="0" w:color="auto"/>
        <w:left w:val="none" w:sz="0" w:space="0" w:color="auto"/>
        <w:bottom w:val="none" w:sz="0" w:space="0" w:color="auto"/>
        <w:right w:val="none" w:sz="0" w:space="0" w:color="auto"/>
      </w:divBdr>
    </w:div>
    <w:div w:id="438453001">
      <w:bodyDiv w:val="1"/>
      <w:marLeft w:val="0"/>
      <w:marRight w:val="0"/>
      <w:marTop w:val="0"/>
      <w:marBottom w:val="0"/>
      <w:divBdr>
        <w:top w:val="none" w:sz="0" w:space="0" w:color="auto"/>
        <w:left w:val="none" w:sz="0" w:space="0" w:color="auto"/>
        <w:bottom w:val="none" w:sz="0" w:space="0" w:color="auto"/>
        <w:right w:val="none" w:sz="0" w:space="0" w:color="auto"/>
      </w:divBdr>
      <w:divsChild>
        <w:div w:id="1549953399">
          <w:marLeft w:val="0"/>
          <w:marRight w:val="0"/>
          <w:marTop w:val="0"/>
          <w:marBottom w:val="0"/>
          <w:divBdr>
            <w:top w:val="none" w:sz="0" w:space="0" w:color="auto"/>
            <w:left w:val="none" w:sz="0" w:space="0" w:color="auto"/>
            <w:bottom w:val="none" w:sz="0" w:space="0" w:color="auto"/>
            <w:right w:val="none" w:sz="0" w:space="0" w:color="auto"/>
          </w:divBdr>
          <w:divsChild>
            <w:div w:id="1983000705">
              <w:marLeft w:val="0"/>
              <w:marRight w:val="0"/>
              <w:marTop w:val="0"/>
              <w:marBottom w:val="0"/>
              <w:divBdr>
                <w:top w:val="none" w:sz="0" w:space="0" w:color="auto"/>
                <w:left w:val="none" w:sz="0" w:space="0" w:color="auto"/>
                <w:bottom w:val="none" w:sz="0" w:space="0" w:color="auto"/>
                <w:right w:val="none" w:sz="0" w:space="0" w:color="auto"/>
              </w:divBdr>
              <w:divsChild>
                <w:div w:id="11522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66860">
      <w:bodyDiv w:val="1"/>
      <w:marLeft w:val="0"/>
      <w:marRight w:val="0"/>
      <w:marTop w:val="0"/>
      <w:marBottom w:val="0"/>
      <w:divBdr>
        <w:top w:val="none" w:sz="0" w:space="0" w:color="auto"/>
        <w:left w:val="none" w:sz="0" w:space="0" w:color="auto"/>
        <w:bottom w:val="none" w:sz="0" w:space="0" w:color="auto"/>
        <w:right w:val="none" w:sz="0" w:space="0" w:color="auto"/>
      </w:divBdr>
    </w:div>
    <w:div w:id="556471500">
      <w:bodyDiv w:val="1"/>
      <w:marLeft w:val="0"/>
      <w:marRight w:val="0"/>
      <w:marTop w:val="0"/>
      <w:marBottom w:val="0"/>
      <w:divBdr>
        <w:top w:val="none" w:sz="0" w:space="0" w:color="auto"/>
        <w:left w:val="none" w:sz="0" w:space="0" w:color="auto"/>
        <w:bottom w:val="none" w:sz="0" w:space="0" w:color="auto"/>
        <w:right w:val="none" w:sz="0" w:space="0" w:color="auto"/>
      </w:divBdr>
    </w:div>
    <w:div w:id="564923611">
      <w:bodyDiv w:val="1"/>
      <w:marLeft w:val="0"/>
      <w:marRight w:val="0"/>
      <w:marTop w:val="0"/>
      <w:marBottom w:val="0"/>
      <w:divBdr>
        <w:top w:val="none" w:sz="0" w:space="0" w:color="auto"/>
        <w:left w:val="none" w:sz="0" w:space="0" w:color="auto"/>
        <w:bottom w:val="none" w:sz="0" w:space="0" w:color="auto"/>
        <w:right w:val="none" w:sz="0" w:space="0" w:color="auto"/>
      </w:divBdr>
      <w:divsChild>
        <w:div w:id="898589944">
          <w:marLeft w:val="0"/>
          <w:marRight w:val="0"/>
          <w:marTop w:val="0"/>
          <w:marBottom w:val="0"/>
          <w:divBdr>
            <w:top w:val="none" w:sz="0" w:space="0" w:color="auto"/>
            <w:left w:val="none" w:sz="0" w:space="0" w:color="auto"/>
            <w:bottom w:val="none" w:sz="0" w:space="0" w:color="auto"/>
            <w:right w:val="none" w:sz="0" w:space="0" w:color="auto"/>
          </w:divBdr>
          <w:divsChild>
            <w:div w:id="1869442003">
              <w:marLeft w:val="0"/>
              <w:marRight w:val="0"/>
              <w:marTop w:val="0"/>
              <w:marBottom w:val="0"/>
              <w:divBdr>
                <w:top w:val="none" w:sz="0" w:space="0" w:color="auto"/>
                <w:left w:val="none" w:sz="0" w:space="0" w:color="auto"/>
                <w:bottom w:val="none" w:sz="0" w:space="0" w:color="auto"/>
                <w:right w:val="none" w:sz="0" w:space="0" w:color="auto"/>
              </w:divBdr>
              <w:divsChild>
                <w:div w:id="1823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4139">
      <w:bodyDiv w:val="1"/>
      <w:marLeft w:val="0"/>
      <w:marRight w:val="0"/>
      <w:marTop w:val="0"/>
      <w:marBottom w:val="0"/>
      <w:divBdr>
        <w:top w:val="none" w:sz="0" w:space="0" w:color="auto"/>
        <w:left w:val="none" w:sz="0" w:space="0" w:color="auto"/>
        <w:bottom w:val="none" w:sz="0" w:space="0" w:color="auto"/>
        <w:right w:val="none" w:sz="0" w:space="0" w:color="auto"/>
      </w:divBdr>
    </w:div>
    <w:div w:id="783233311">
      <w:bodyDiv w:val="1"/>
      <w:marLeft w:val="0"/>
      <w:marRight w:val="0"/>
      <w:marTop w:val="0"/>
      <w:marBottom w:val="0"/>
      <w:divBdr>
        <w:top w:val="none" w:sz="0" w:space="0" w:color="auto"/>
        <w:left w:val="none" w:sz="0" w:space="0" w:color="auto"/>
        <w:bottom w:val="none" w:sz="0" w:space="0" w:color="auto"/>
        <w:right w:val="none" w:sz="0" w:space="0" w:color="auto"/>
      </w:divBdr>
    </w:div>
    <w:div w:id="1031497648">
      <w:bodyDiv w:val="1"/>
      <w:marLeft w:val="0"/>
      <w:marRight w:val="0"/>
      <w:marTop w:val="0"/>
      <w:marBottom w:val="0"/>
      <w:divBdr>
        <w:top w:val="none" w:sz="0" w:space="0" w:color="auto"/>
        <w:left w:val="none" w:sz="0" w:space="0" w:color="auto"/>
        <w:bottom w:val="none" w:sz="0" w:space="0" w:color="auto"/>
        <w:right w:val="none" w:sz="0" w:space="0" w:color="auto"/>
      </w:divBdr>
      <w:divsChild>
        <w:div w:id="598298071">
          <w:marLeft w:val="0"/>
          <w:marRight w:val="0"/>
          <w:marTop w:val="0"/>
          <w:marBottom w:val="0"/>
          <w:divBdr>
            <w:top w:val="none" w:sz="0" w:space="0" w:color="auto"/>
            <w:left w:val="none" w:sz="0" w:space="0" w:color="auto"/>
            <w:bottom w:val="none" w:sz="0" w:space="0" w:color="auto"/>
            <w:right w:val="none" w:sz="0" w:space="0" w:color="auto"/>
          </w:divBdr>
          <w:divsChild>
            <w:div w:id="57746152">
              <w:marLeft w:val="0"/>
              <w:marRight w:val="0"/>
              <w:marTop w:val="0"/>
              <w:marBottom w:val="0"/>
              <w:divBdr>
                <w:top w:val="none" w:sz="0" w:space="0" w:color="auto"/>
                <w:left w:val="none" w:sz="0" w:space="0" w:color="auto"/>
                <w:bottom w:val="none" w:sz="0" w:space="0" w:color="auto"/>
                <w:right w:val="none" w:sz="0" w:space="0" w:color="auto"/>
              </w:divBdr>
              <w:divsChild>
                <w:div w:id="3546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2450">
      <w:bodyDiv w:val="1"/>
      <w:marLeft w:val="0"/>
      <w:marRight w:val="0"/>
      <w:marTop w:val="0"/>
      <w:marBottom w:val="0"/>
      <w:divBdr>
        <w:top w:val="none" w:sz="0" w:space="0" w:color="auto"/>
        <w:left w:val="none" w:sz="0" w:space="0" w:color="auto"/>
        <w:bottom w:val="none" w:sz="0" w:space="0" w:color="auto"/>
        <w:right w:val="none" w:sz="0" w:space="0" w:color="auto"/>
      </w:divBdr>
    </w:div>
    <w:div w:id="1354456396">
      <w:bodyDiv w:val="1"/>
      <w:marLeft w:val="0"/>
      <w:marRight w:val="0"/>
      <w:marTop w:val="0"/>
      <w:marBottom w:val="0"/>
      <w:divBdr>
        <w:top w:val="none" w:sz="0" w:space="0" w:color="auto"/>
        <w:left w:val="none" w:sz="0" w:space="0" w:color="auto"/>
        <w:bottom w:val="none" w:sz="0" w:space="0" w:color="auto"/>
        <w:right w:val="none" w:sz="0" w:space="0" w:color="auto"/>
      </w:divBdr>
    </w:div>
    <w:div w:id="1371763006">
      <w:bodyDiv w:val="1"/>
      <w:marLeft w:val="0"/>
      <w:marRight w:val="0"/>
      <w:marTop w:val="0"/>
      <w:marBottom w:val="0"/>
      <w:divBdr>
        <w:top w:val="none" w:sz="0" w:space="0" w:color="auto"/>
        <w:left w:val="none" w:sz="0" w:space="0" w:color="auto"/>
        <w:bottom w:val="none" w:sz="0" w:space="0" w:color="auto"/>
        <w:right w:val="none" w:sz="0" w:space="0" w:color="auto"/>
      </w:divBdr>
      <w:divsChild>
        <w:div w:id="1475751915">
          <w:marLeft w:val="0"/>
          <w:marRight w:val="0"/>
          <w:marTop w:val="0"/>
          <w:marBottom w:val="0"/>
          <w:divBdr>
            <w:top w:val="none" w:sz="0" w:space="0" w:color="auto"/>
            <w:left w:val="none" w:sz="0" w:space="0" w:color="auto"/>
            <w:bottom w:val="none" w:sz="0" w:space="0" w:color="auto"/>
            <w:right w:val="none" w:sz="0" w:space="0" w:color="auto"/>
          </w:divBdr>
          <w:divsChild>
            <w:div w:id="2102599808">
              <w:marLeft w:val="0"/>
              <w:marRight w:val="0"/>
              <w:marTop w:val="0"/>
              <w:marBottom w:val="0"/>
              <w:divBdr>
                <w:top w:val="none" w:sz="0" w:space="0" w:color="auto"/>
                <w:left w:val="none" w:sz="0" w:space="0" w:color="auto"/>
                <w:bottom w:val="none" w:sz="0" w:space="0" w:color="auto"/>
                <w:right w:val="none" w:sz="0" w:space="0" w:color="auto"/>
              </w:divBdr>
              <w:divsChild>
                <w:div w:id="6277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98176">
      <w:bodyDiv w:val="1"/>
      <w:marLeft w:val="0"/>
      <w:marRight w:val="0"/>
      <w:marTop w:val="0"/>
      <w:marBottom w:val="0"/>
      <w:divBdr>
        <w:top w:val="none" w:sz="0" w:space="0" w:color="auto"/>
        <w:left w:val="none" w:sz="0" w:space="0" w:color="auto"/>
        <w:bottom w:val="none" w:sz="0" w:space="0" w:color="auto"/>
        <w:right w:val="none" w:sz="0" w:space="0" w:color="auto"/>
      </w:divBdr>
      <w:divsChild>
        <w:div w:id="1825468359">
          <w:marLeft w:val="0"/>
          <w:marRight w:val="0"/>
          <w:marTop w:val="0"/>
          <w:marBottom w:val="0"/>
          <w:divBdr>
            <w:top w:val="none" w:sz="0" w:space="0" w:color="auto"/>
            <w:left w:val="none" w:sz="0" w:space="0" w:color="auto"/>
            <w:bottom w:val="none" w:sz="0" w:space="0" w:color="auto"/>
            <w:right w:val="none" w:sz="0" w:space="0" w:color="auto"/>
          </w:divBdr>
          <w:divsChild>
            <w:div w:id="1108357403">
              <w:marLeft w:val="0"/>
              <w:marRight w:val="0"/>
              <w:marTop w:val="0"/>
              <w:marBottom w:val="0"/>
              <w:divBdr>
                <w:top w:val="none" w:sz="0" w:space="0" w:color="auto"/>
                <w:left w:val="none" w:sz="0" w:space="0" w:color="auto"/>
                <w:bottom w:val="none" w:sz="0" w:space="0" w:color="auto"/>
                <w:right w:val="none" w:sz="0" w:space="0" w:color="auto"/>
              </w:divBdr>
              <w:divsChild>
                <w:div w:id="12877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96777">
      <w:bodyDiv w:val="1"/>
      <w:marLeft w:val="0"/>
      <w:marRight w:val="0"/>
      <w:marTop w:val="0"/>
      <w:marBottom w:val="0"/>
      <w:divBdr>
        <w:top w:val="none" w:sz="0" w:space="0" w:color="auto"/>
        <w:left w:val="none" w:sz="0" w:space="0" w:color="auto"/>
        <w:bottom w:val="none" w:sz="0" w:space="0" w:color="auto"/>
        <w:right w:val="none" w:sz="0" w:space="0" w:color="auto"/>
      </w:divBdr>
      <w:divsChild>
        <w:div w:id="1897088067">
          <w:marLeft w:val="0"/>
          <w:marRight w:val="0"/>
          <w:marTop w:val="0"/>
          <w:marBottom w:val="0"/>
          <w:divBdr>
            <w:top w:val="none" w:sz="0" w:space="0" w:color="auto"/>
            <w:left w:val="none" w:sz="0" w:space="0" w:color="auto"/>
            <w:bottom w:val="none" w:sz="0" w:space="0" w:color="auto"/>
            <w:right w:val="none" w:sz="0" w:space="0" w:color="auto"/>
          </w:divBdr>
          <w:divsChild>
            <w:div w:id="559630244">
              <w:marLeft w:val="0"/>
              <w:marRight w:val="0"/>
              <w:marTop w:val="0"/>
              <w:marBottom w:val="0"/>
              <w:divBdr>
                <w:top w:val="none" w:sz="0" w:space="0" w:color="auto"/>
                <w:left w:val="none" w:sz="0" w:space="0" w:color="auto"/>
                <w:bottom w:val="none" w:sz="0" w:space="0" w:color="auto"/>
                <w:right w:val="none" w:sz="0" w:space="0" w:color="auto"/>
              </w:divBdr>
              <w:divsChild>
                <w:div w:id="1312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60313">
      <w:bodyDiv w:val="1"/>
      <w:marLeft w:val="0"/>
      <w:marRight w:val="0"/>
      <w:marTop w:val="0"/>
      <w:marBottom w:val="0"/>
      <w:divBdr>
        <w:top w:val="none" w:sz="0" w:space="0" w:color="auto"/>
        <w:left w:val="none" w:sz="0" w:space="0" w:color="auto"/>
        <w:bottom w:val="none" w:sz="0" w:space="0" w:color="auto"/>
        <w:right w:val="none" w:sz="0" w:space="0" w:color="auto"/>
      </w:divBdr>
      <w:divsChild>
        <w:div w:id="949779117">
          <w:marLeft w:val="0"/>
          <w:marRight w:val="0"/>
          <w:marTop w:val="0"/>
          <w:marBottom w:val="0"/>
          <w:divBdr>
            <w:top w:val="none" w:sz="0" w:space="0" w:color="auto"/>
            <w:left w:val="none" w:sz="0" w:space="0" w:color="auto"/>
            <w:bottom w:val="none" w:sz="0" w:space="0" w:color="auto"/>
            <w:right w:val="none" w:sz="0" w:space="0" w:color="auto"/>
          </w:divBdr>
          <w:divsChild>
            <w:div w:id="2104910673">
              <w:marLeft w:val="0"/>
              <w:marRight w:val="0"/>
              <w:marTop w:val="0"/>
              <w:marBottom w:val="0"/>
              <w:divBdr>
                <w:top w:val="none" w:sz="0" w:space="0" w:color="auto"/>
                <w:left w:val="none" w:sz="0" w:space="0" w:color="auto"/>
                <w:bottom w:val="none" w:sz="0" w:space="0" w:color="auto"/>
                <w:right w:val="none" w:sz="0" w:space="0" w:color="auto"/>
              </w:divBdr>
              <w:divsChild>
                <w:div w:id="17090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5479">
      <w:bodyDiv w:val="1"/>
      <w:marLeft w:val="0"/>
      <w:marRight w:val="0"/>
      <w:marTop w:val="0"/>
      <w:marBottom w:val="0"/>
      <w:divBdr>
        <w:top w:val="none" w:sz="0" w:space="0" w:color="auto"/>
        <w:left w:val="none" w:sz="0" w:space="0" w:color="auto"/>
        <w:bottom w:val="none" w:sz="0" w:space="0" w:color="auto"/>
        <w:right w:val="none" w:sz="0" w:space="0" w:color="auto"/>
      </w:divBdr>
    </w:div>
    <w:div w:id="1643652616">
      <w:bodyDiv w:val="1"/>
      <w:marLeft w:val="0"/>
      <w:marRight w:val="0"/>
      <w:marTop w:val="0"/>
      <w:marBottom w:val="0"/>
      <w:divBdr>
        <w:top w:val="none" w:sz="0" w:space="0" w:color="auto"/>
        <w:left w:val="none" w:sz="0" w:space="0" w:color="auto"/>
        <w:bottom w:val="none" w:sz="0" w:space="0" w:color="auto"/>
        <w:right w:val="none" w:sz="0" w:space="0" w:color="auto"/>
      </w:divBdr>
    </w:div>
    <w:div w:id="1723138207">
      <w:bodyDiv w:val="1"/>
      <w:marLeft w:val="0"/>
      <w:marRight w:val="0"/>
      <w:marTop w:val="0"/>
      <w:marBottom w:val="0"/>
      <w:divBdr>
        <w:top w:val="none" w:sz="0" w:space="0" w:color="auto"/>
        <w:left w:val="none" w:sz="0" w:space="0" w:color="auto"/>
        <w:bottom w:val="none" w:sz="0" w:space="0" w:color="auto"/>
        <w:right w:val="none" w:sz="0" w:space="0" w:color="auto"/>
      </w:divBdr>
      <w:divsChild>
        <w:div w:id="2006205541">
          <w:marLeft w:val="0"/>
          <w:marRight w:val="0"/>
          <w:marTop w:val="0"/>
          <w:marBottom w:val="0"/>
          <w:divBdr>
            <w:top w:val="none" w:sz="0" w:space="0" w:color="auto"/>
            <w:left w:val="none" w:sz="0" w:space="0" w:color="auto"/>
            <w:bottom w:val="none" w:sz="0" w:space="0" w:color="auto"/>
            <w:right w:val="none" w:sz="0" w:space="0" w:color="auto"/>
          </w:divBdr>
          <w:divsChild>
            <w:div w:id="656884086">
              <w:marLeft w:val="0"/>
              <w:marRight w:val="0"/>
              <w:marTop w:val="0"/>
              <w:marBottom w:val="0"/>
              <w:divBdr>
                <w:top w:val="none" w:sz="0" w:space="0" w:color="auto"/>
                <w:left w:val="none" w:sz="0" w:space="0" w:color="auto"/>
                <w:bottom w:val="none" w:sz="0" w:space="0" w:color="auto"/>
                <w:right w:val="none" w:sz="0" w:space="0" w:color="auto"/>
              </w:divBdr>
              <w:divsChild>
                <w:div w:id="493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3437">
      <w:bodyDiv w:val="1"/>
      <w:marLeft w:val="0"/>
      <w:marRight w:val="0"/>
      <w:marTop w:val="0"/>
      <w:marBottom w:val="0"/>
      <w:divBdr>
        <w:top w:val="none" w:sz="0" w:space="0" w:color="auto"/>
        <w:left w:val="none" w:sz="0" w:space="0" w:color="auto"/>
        <w:bottom w:val="none" w:sz="0" w:space="0" w:color="auto"/>
        <w:right w:val="none" w:sz="0" w:space="0" w:color="auto"/>
      </w:divBdr>
      <w:divsChild>
        <w:div w:id="438724267">
          <w:marLeft w:val="547"/>
          <w:marRight w:val="0"/>
          <w:marTop w:val="0"/>
          <w:marBottom w:val="0"/>
          <w:divBdr>
            <w:top w:val="none" w:sz="0" w:space="0" w:color="auto"/>
            <w:left w:val="none" w:sz="0" w:space="0" w:color="auto"/>
            <w:bottom w:val="none" w:sz="0" w:space="0" w:color="auto"/>
            <w:right w:val="none" w:sz="0" w:space="0" w:color="auto"/>
          </w:divBdr>
        </w:div>
        <w:div w:id="1777481342">
          <w:marLeft w:val="547"/>
          <w:marRight w:val="0"/>
          <w:marTop w:val="0"/>
          <w:marBottom w:val="0"/>
          <w:divBdr>
            <w:top w:val="none" w:sz="0" w:space="0" w:color="auto"/>
            <w:left w:val="none" w:sz="0" w:space="0" w:color="auto"/>
            <w:bottom w:val="none" w:sz="0" w:space="0" w:color="auto"/>
            <w:right w:val="none" w:sz="0" w:space="0" w:color="auto"/>
          </w:divBdr>
        </w:div>
      </w:divsChild>
    </w:div>
    <w:div w:id="1951281712">
      <w:bodyDiv w:val="1"/>
      <w:marLeft w:val="0"/>
      <w:marRight w:val="0"/>
      <w:marTop w:val="0"/>
      <w:marBottom w:val="0"/>
      <w:divBdr>
        <w:top w:val="none" w:sz="0" w:space="0" w:color="auto"/>
        <w:left w:val="none" w:sz="0" w:space="0" w:color="auto"/>
        <w:bottom w:val="none" w:sz="0" w:space="0" w:color="auto"/>
        <w:right w:val="none" w:sz="0" w:space="0" w:color="auto"/>
      </w:divBdr>
      <w:divsChild>
        <w:div w:id="616258549">
          <w:marLeft w:val="0"/>
          <w:marRight w:val="0"/>
          <w:marTop w:val="0"/>
          <w:marBottom w:val="0"/>
          <w:divBdr>
            <w:top w:val="none" w:sz="0" w:space="0" w:color="auto"/>
            <w:left w:val="none" w:sz="0" w:space="0" w:color="auto"/>
            <w:bottom w:val="none" w:sz="0" w:space="0" w:color="auto"/>
            <w:right w:val="none" w:sz="0" w:space="0" w:color="auto"/>
          </w:divBdr>
          <w:divsChild>
            <w:div w:id="1402869239">
              <w:marLeft w:val="0"/>
              <w:marRight w:val="0"/>
              <w:marTop w:val="0"/>
              <w:marBottom w:val="0"/>
              <w:divBdr>
                <w:top w:val="none" w:sz="0" w:space="0" w:color="auto"/>
                <w:left w:val="none" w:sz="0" w:space="0" w:color="auto"/>
                <w:bottom w:val="none" w:sz="0" w:space="0" w:color="auto"/>
                <w:right w:val="none" w:sz="0" w:space="0" w:color="auto"/>
              </w:divBdr>
              <w:divsChild>
                <w:div w:id="1385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10230">
      <w:bodyDiv w:val="1"/>
      <w:marLeft w:val="0"/>
      <w:marRight w:val="0"/>
      <w:marTop w:val="0"/>
      <w:marBottom w:val="0"/>
      <w:divBdr>
        <w:top w:val="none" w:sz="0" w:space="0" w:color="auto"/>
        <w:left w:val="none" w:sz="0" w:space="0" w:color="auto"/>
        <w:bottom w:val="none" w:sz="0" w:space="0" w:color="auto"/>
        <w:right w:val="none" w:sz="0" w:space="0" w:color="auto"/>
      </w:divBdr>
      <w:divsChild>
        <w:div w:id="1988317286">
          <w:marLeft w:val="0"/>
          <w:marRight w:val="0"/>
          <w:marTop w:val="0"/>
          <w:marBottom w:val="0"/>
          <w:divBdr>
            <w:top w:val="none" w:sz="0" w:space="0" w:color="auto"/>
            <w:left w:val="none" w:sz="0" w:space="0" w:color="auto"/>
            <w:bottom w:val="none" w:sz="0" w:space="0" w:color="auto"/>
            <w:right w:val="none" w:sz="0" w:space="0" w:color="auto"/>
          </w:divBdr>
          <w:divsChild>
            <w:div w:id="1498114976">
              <w:marLeft w:val="0"/>
              <w:marRight w:val="0"/>
              <w:marTop w:val="0"/>
              <w:marBottom w:val="0"/>
              <w:divBdr>
                <w:top w:val="none" w:sz="0" w:space="0" w:color="auto"/>
                <w:left w:val="none" w:sz="0" w:space="0" w:color="auto"/>
                <w:bottom w:val="none" w:sz="0" w:space="0" w:color="auto"/>
                <w:right w:val="none" w:sz="0" w:space="0" w:color="auto"/>
              </w:divBdr>
              <w:divsChild>
                <w:div w:id="21292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7121db02bbc12a3f2a82dbeec9159cea">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93b0cc0ea700ed314f478e1a9adb5445"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B80C-0761-4112-BFE0-214E4550C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5CD0E-7623-4A61-8F94-64911010DDA1}">
  <ds:schemaRefs>
    <ds:schemaRef ds:uri="http://schemas.microsoft.com/sharepoint/v3/contenttype/forms"/>
  </ds:schemaRefs>
</ds:datastoreItem>
</file>

<file path=customXml/itemProps3.xml><?xml version="1.0" encoding="utf-8"?>
<ds:datastoreItem xmlns:ds="http://schemas.openxmlformats.org/officeDocument/2006/customXml" ds:itemID="{3A977390-70F3-4245-85AA-2112DEF112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B44064-CB25-4BB0-81F9-AE8624AB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12</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Safiya Aftab</dc:creator>
  <cp:keywords/>
  <cp:lastModifiedBy>Mishka Zaman</cp:lastModifiedBy>
  <cp:revision>128</cp:revision>
  <cp:lastPrinted>2017-07-13T22:15:00Z</cp:lastPrinted>
  <dcterms:created xsi:type="dcterms:W3CDTF">2020-06-05T20:04:00Z</dcterms:created>
  <dcterms:modified xsi:type="dcterms:W3CDTF">2020-06-15T08:01:00Z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